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6494" w14:textId="10E3F7AD" w:rsidR="00D5547E" w:rsidRPr="003A6895" w:rsidRDefault="00D5547E" w:rsidP="003A6895">
      <w:pPr>
        <w:ind w:firstLine="284"/>
        <w:rPr>
          <w:b/>
          <w:sz w:val="28"/>
        </w:rPr>
      </w:pPr>
    </w:p>
    <w:tbl>
      <w:tblPr>
        <w:tblW w:w="0" w:type="auto"/>
        <w:tblInd w:w="108" w:type="dxa"/>
        <w:tblLayout w:type="fixed"/>
        <w:tblLook w:val="04A0" w:firstRow="1" w:lastRow="0" w:firstColumn="1" w:lastColumn="0" w:noHBand="0" w:noVBand="1"/>
      </w:tblPr>
      <w:tblGrid>
        <w:gridCol w:w="2438"/>
        <w:gridCol w:w="6406"/>
      </w:tblGrid>
      <w:tr w:rsidR="00CE544A" w:rsidRPr="00975B07" w14:paraId="2A56A079" w14:textId="77777777" w:rsidTr="005F7F7E">
        <w:tc>
          <w:tcPr>
            <w:tcW w:w="2438" w:type="dxa"/>
            <w:shd w:val="clear" w:color="auto" w:fill="auto"/>
          </w:tcPr>
          <w:p w14:paraId="246B4DF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39AF285" w14:textId="77777777" w:rsidR="00F445B1" w:rsidRPr="00F95BC9" w:rsidRDefault="00F445B1" w:rsidP="00F6310A">
            <w:pPr>
              <w:rPr>
                <w:rStyle w:val="Firstpagetablebold"/>
              </w:rPr>
            </w:pPr>
            <w:r w:rsidRPr="00F95BC9">
              <w:rPr>
                <w:rStyle w:val="Firstpagetablebold"/>
              </w:rPr>
              <w:t>C</w:t>
            </w:r>
            <w:r w:rsidR="00F6310A">
              <w:rPr>
                <w:rStyle w:val="Firstpagetablebold"/>
              </w:rPr>
              <w:t>ouncil</w:t>
            </w:r>
          </w:p>
        </w:tc>
      </w:tr>
      <w:tr w:rsidR="00CE544A" w:rsidRPr="00975B07" w14:paraId="11AC0688" w14:textId="77777777" w:rsidTr="005F7F7E">
        <w:tc>
          <w:tcPr>
            <w:tcW w:w="2438" w:type="dxa"/>
            <w:shd w:val="clear" w:color="auto" w:fill="auto"/>
          </w:tcPr>
          <w:p w14:paraId="585718B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05C5816" w14:textId="77777777" w:rsidR="00F445B1" w:rsidRPr="001356F1" w:rsidRDefault="002378AB" w:rsidP="00C51932">
            <w:pPr>
              <w:rPr>
                <w:b/>
              </w:rPr>
            </w:pPr>
            <w:r>
              <w:rPr>
                <w:rStyle w:val="Firstpagetablebold"/>
              </w:rPr>
              <w:t>17 February 2021</w:t>
            </w:r>
          </w:p>
        </w:tc>
      </w:tr>
      <w:tr w:rsidR="00CE544A" w:rsidRPr="00975B07" w14:paraId="36B1C9B3" w14:textId="77777777" w:rsidTr="005F7F7E">
        <w:tc>
          <w:tcPr>
            <w:tcW w:w="2438" w:type="dxa"/>
            <w:shd w:val="clear" w:color="auto" w:fill="auto"/>
          </w:tcPr>
          <w:p w14:paraId="0F834E4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B5E961E" w14:textId="77777777" w:rsidR="00F445B1" w:rsidRPr="001356F1" w:rsidRDefault="00F6310A" w:rsidP="004A6D2F">
            <w:pPr>
              <w:rPr>
                <w:rStyle w:val="Firstpagetablebold"/>
              </w:rPr>
            </w:pPr>
            <w:r>
              <w:rPr>
                <w:rStyle w:val="Firstpagetablebold"/>
              </w:rPr>
              <w:t>Head of Law and Governance</w:t>
            </w:r>
          </w:p>
        </w:tc>
      </w:tr>
      <w:tr w:rsidR="00CE544A" w:rsidRPr="00975B07" w14:paraId="73529202" w14:textId="77777777" w:rsidTr="005F7F7E">
        <w:tc>
          <w:tcPr>
            <w:tcW w:w="2438" w:type="dxa"/>
            <w:shd w:val="clear" w:color="auto" w:fill="auto"/>
          </w:tcPr>
          <w:p w14:paraId="5D93B8D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726B74C" w14:textId="77777777" w:rsidR="00F445B1" w:rsidRPr="001356F1" w:rsidRDefault="00F6310A" w:rsidP="002378AB">
            <w:pPr>
              <w:rPr>
                <w:rStyle w:val="Firstpagetablebold"/>
              </w:rPr>
            </w:pPr>
            <w:r>
              <w:rPr>
                <w:rStyle w:val="Firstpagetablebold"/>
              </w:rPr>
              <w:t>Constitution Review 20</w:t>
            </w:r>
            <w:r w:rsidR="002378AB">
              <w:rPr>
                <w:rStyle w:val="Firstpagetablebold"/>
              </w:rPr>
              <w:t>20</w:t>
            </w:r>
            <w:r w:rsidR="00C5446B">
              <w:rPr>
                <w:rStyle w:val="Firstpagetablebold"/>
              </w:rPr>
              <w:t>/21</w:t>
            </w:r>
          </w:p>
        </w:tc>
      </w:tr>
    </w:tbl>
    <w:p w14:paraId="41B847C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1"/>
        <w:gridCol w:w="1847"/>
        <w:gridCol w:w="6407"/>
      </w:tblGrid>
      <w:tr w:rsidR="00D5547E" w14:paraId="05C3D5B4" w14:textId="77777777" w:rsidTr="0080749A">
        <w:tc>
          <w:tcPr>
            <w:tcW w:w="8845" w:type="dxa"/>
            <w:gridSpan w:val="3"/>
            <w:tcBorders>
              <w:bottom w:val="single" w:sz="8" w:space="0" w:color="000000"/>
            </w:tcBorders>
            <w:hideMark/>
          </w:tcPr>
          <w:p w14:paraId="55A7145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E8F439B" w14:textId="77777777" w:rsidTr="0080749A">
        <w:tc>
          <w:tcPr>
            <w:tcW w:w="2438" w:type="dxa"/>
            <w:gridSpan w:val="2"/>
            <w:tcBorders>
              <w:top w:val="single" w:sz="8" w:space="0" w:color="000000"/>
              <w:left w:val="single" w:sz="8" w:space="0" w:color="000000"/>
              <w:bottom w:val="nil"/>
              <w:right w:val="nil"/>
            </w:tcBorders>
            <w:hideMark/>
          </w:tcPr>
          <w:p w14:paraId="44E9FF2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FEF68AB" w14:textId="77777777" w:rsidR="00D5547E" w:rsidRPr="001356F1" w:rsidRDefault="00F6310A" w:rsidP="00F6310A">
            <w:r>
              <w:t>This report recommends changes to the Council’s Constitution following an annual review of the Constitution overseen by a “Cross-Party Constitution Group”.</w:t>
            </w:r>
          </w:p>
        </w:tc>
      </w:tr>
      <w:tr w:rsidR="00D5547E" w14:paraId="68D299DD" w14:textId="77777777" w:rsidTr="0080749A">
        <w:tc>
          <w:tcPr>
            <w:tcW w:w="2438" w:type="dxa"/>
            <w:gridSpan w:val="2"/>
            <w:tcBorders>
              <w:top w:val="nil"/>
              <w:left w:val="single" w:sz="8" w:space="0" w:color="000000"/>
              <w:bottom w:val="nil"/>
              <w:right w:val="nil"/>
            </w:tcBorders>
            <w:hideMark/>
          </w:tcPr>
          <w:p w14:paraId="5921893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6990E9D" w14:textId="77777777" w:rsidR="00D5547E" w:rsidRPr="001356F1" w:rsidRDefault="00F6310A" w:rsidP="005F7F7E">
            <w:r>
              <w:t>No</w:t>
            </w:r>
          </w:p>
        </w:tc>
      </w:tr>
      <w:tr w:rsidR="00D5547E" w14:paraId="2A8BB09A" w14:textId="77777777" w:rsidTr="0080749A">
        <w:tc>
          <w:tcPr>
            <w:tcW w:w="2438" w:type="dxa"/>
            <w:gridSpan w:val="2"/>
            <w:tcBorders>
              <w:top w:val="nil"/>
              <w:left w:val="single" w:sz="8" w:space="0" w:color="000000"/>
              <w:bottom w:val="nil"/>
              <w:right w:val="nil"/>
            </w:tcBorders>
            <w:hideMark/>
          </w:tcPr>
          <w:p w14:paraId="7265A4CC" w14:textId="77777777" w:rsidR="00D5547E" w:rsidRDefault="005620B4">
            <w:pPr>
              <w:rPr>
                <w:rStyle w:val="Firstpagetablebold"/>
              </w:rPr>
            </w:pPr>
            <w:r>
              <w:rPr>
                <w:rStyle w:val="Firstpagetablebold"/>
              </w:rPr>
              <w:t>Lead</w:t>
            </w:r>
            <w:r w:rsidR="00D5547E">
              <w:rPr>
                <w:rStyle w:val="Firstpagetablebold"/>
              </w:rPr>
              <w:t xml:space="preserve"> Member:</w:t>
            </w:r>
          </w:p>
        </w:tc>
        <w:tc>
          <w:tcPr>
            <w:tcW w:w="6407" w:type="dxa"/>
            <w:tcBorders>
              <w:top w:val="nil"/>
              <w:left w:val="nil"/>
              <w:bottom w:val="nil"/>
              <w:right w:val="single" w:sz="8" w:space="0" w:color="000000"/>
            </w:tcBorders>
            <w:hideMark/>
          </w:tcPr>
          <w:p w14:paraId="40702D6E" w14:textId="77777777" w:rsidR="00D5547E" w:rsidRPr="001356F1" w:rsidRDefault="00D5547E" w:rsidP="002378AB">
            <w:r w:rsidRPr="001356F1">
              <w:t xml:space="preserve">Councillor </w:t>
            </w:r>
            <w:r w:rsidR="00F6310A">
              <w:t xml:space="preserve">Nigel Chapman, </w:t>
            </w:r>
            <w:r w:rsidR="002378AB">
              <w:t>Cabinet</w:t>
            </w:r>
            <w:r w:rsidR="005620B4">
              <w:t xml:space="preserve"> Member for </w:t>
            </w:r>
            <w:r w:rsidR="00F6310A">
              <w:t>Customer Focused Services</w:t>
            </w:r>
          </w:p>
        </w:tc>
      </w:tr>
      <w:tr w:rsidR="005F7F7E" w:rsidRPr="00975B07" w14:paraId="6C5E165E" w14:textId="77777777" w:rsidTr="00916D33">
        <w:trPr>
          <w:trHeight w:val="413"/>
        </w:trPr>
        <w:tc>
          <w:tcPr>
            <w:tcW w:w="8845" w:type="dxa"/>
            <w:gridSpan w:val="3"/>
            <w:tcBorders>
              <w:bottom w:val="single" w:sz="8" w:space="0" w:color="000000"/>
            </w:tcBorders>
          </w:tcPr>
          <w:p w14:paraId="374EFD74" w14:textId="77777777" w:rsidR="005F7F7E" w:rsidRPr="00975B07" w:rsidRDefault="00342E15" w:rsidP="00D21514">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w:t>
            </w:r>
            <w:r w:rsidR="00F6310A">
              <w:rPr>
                <w:rStyle w:val="Firstpagetablebold"/>
              </w:rPr>
              <w:t>Council</w:t>
            </w:r>
            <w:r w:rsidR="005F7F7E">
              <w:rPr>
                <w:rStyle w:val="Firstpagetablebold"/>
              </w:rPr>
              <w:t xml:space="preserve"> resolves to:</w:t>
            </w:r>
          </w:p>
        </w:tc>
      </w:tr>
      <w:tr w:rsidR="0030208D" w:rsidRPr="00975B07" w14:paraId="00B6B981" w14:textId="77777777" w:rsidTr="00997B37">
        <w:trPr>
          <w:trHeight w:val="551"/>
        </w:trPr>
        <w:tc>
          <w:tcPr>
            <w:tcW w:w="591" w:type="dxa"/>
            <w:tcBorders>
              <w:top w:val="single" w:sz="8" w:space="0" w:color="000000"/>
              <w:left w:val="single" w:sz="8" w:space="0" w:color="000000"/>
              <w:bottom w:val="nil"/>
              <w:right w:val="nil"/>
            </w:tcBorders>
          </w:tcPr>
          <w:p w14:paraId="708CFC12" w14:textId="77777777" w:rsidR="00916D33" w:rsidRDefault="00046D2B" w:rsidP="00997B37">
            <w:r w:rsidRPr="00975B07">
              <w:t>1.</w:t>
            </w:r>
          </w:p>
          <w:p w14:paraId="6BAF3C57" w14:textId="77777777" w:rsidR="00997B37" w:rsidRPr="00975B07" w:rsidRDefault="00997B37" w:rsidP="00997B37"/>
        </w:tc>
        <w:tc>
          <w:tcPr>
            <w:tcW w:w="8254" w:type="dxa"/>
            <w:gridSpan w:val="2"/>
            <w:tcBorders>
              <w:top w:val="single" w:sz="8" w:space="0" w:color="000000"/>
              <w:left w:val="nil"/>
              <w:bottom w:val="nil"/>
              <w:right w:val="single" w:sz="8" w:space="0" w:color="000000"/>
            </w:tcBorders>
            <w:shd w:val="clear" w:color="auto" w:fill="auto"/>
          </w:tcPr>
          <w:p w14:paraId="3CAAD4E9" w14:textId="71426102" w:rsidR="00916D33" w:rsidRPr="001D1761" w:rsidRDefault="00F6310A" w:rsidP="00E87941">
            <w:pPr>
              <w:rPr>
                <w:color w:val="auto"/>
              </w:rPr>
            </w:pPr>
            <w:r w:rsidRPr="00342E15">
              <w:rPr>
                <w:rStyle w:val="Firstpagetablebold"/>
                <w:color w:val="auto"/>
              </w:rPr>
              <w:t>Approve</w:t>
            </w:r>
            <w:r w:rsidRPr="00342E15">
              <w:rPr>
                <w:rStyle w:val="Firstpagetablebold"/>
                <w:b w:val="0"/>
                <w:color w:val="auto"/>
              </w:rPr>
              <w:t xml:space="preserve"> the</w:t>
            </w:r>
            <w:r w:rsidR="00E715C7" w:rsidRPr="00342E15">
              <w:rPr>
                <w:rStyle w:val="Firstpagetablebold"/>
                <w:b w:val="0"/>
                <w:color w:val="auto"/>
              </w:rPr>
              <w:t xml:space="preserve"> list of proposed</w:t>
            </w:r>
            <w:r w:rsidRPr="00342E15">
              <w:rPr>
                <w:rStyle w:val="Firstpagetablebold"/>
                <w:b w:val="0"/>
                <w:color w:val="auto"/>
              </w:rPr>
              <w:t xml:space="preserve"> amend</w:t>
            </w:r>
            <w:r w:rsidR="00916D33" w:rsidRPr="00342E15">
              <w:rPr>
                <w:rStyle w:val="Firstpagetablebold"/>
                <w:b w:val="0"/>
                <w:color w:val="auto"/>
              </w:rPr>
              <w:t xml:space="preserve">ments to the </w:t>
            </w:r>
            <w:r w:rsidRPr="00342E15">
              <w:rPr>
                <w:rStyle w:val="Firstpagetablebold"/>
                <w:b w:val="0"/>
                <w:color w:val="auto"/>
              </w:rPr>
              <w:t xml:space="preserve">Constitution </w:t>
            </w:r>
            <w:r w:rsidR="00EA57F3">
              <w:rPr>
                <w:rStyle w:val="Firstpagetablebold"/>
                <w:b w:val="0"/>
                <w:color w:val="auto"/>
              </w:rPr>
              <w:t>detailed in Appendix 1</w:t>
            </w:r>
            <w:r w:rsidR="00E715C7" w:rsidRPr="00342E15">
              <w:rPr>
                <w:rStyle w:val="Firstpagetablebold"/>
                <w:b w:val="0"/>
                <w:color w:val="auto"/>
              </w:rPr>
              <w:t xml:space="preserve"> and highlighted in </w:t>
            </w:r>
            <w:r w:rsidR="00C95E1A" w:rsidRPr="00342E15">
              <w:rPr>
                <w:rStyle w:val="Firstpagetablebold"/>
                <w:b w:val="0"/>
                <w:color w:val="auto"/>
              </w:rPr>
              <w:t xml:space="preserve">the </w:t>
            </w:r>
            <w:r w:rsidR="00E87941">
              <w:rPr>
                <w:rStyle w:val="Firstpagetablebold"/>
                <w:b w:val="0"/>
                <w:color w:val="auto"/>
              </w:rPr>
              <w:t>revised</w:t>
            </w:r>
            <w:r w:rsidR="00E87941" w:rsidRPr="00342E15">
              <w:rPr>
                <w:rStyle w:val="Firstpagetablebold"/>
                <w:b w:val="0"/>
                <w:color w:val="auto"/>
              </w:rPr>
              <w:t xml:space="preserve"> </w:t>
            </w:r>
            <w:r w:rsidR="00C95E1A" w:rsidRPr="00342E15">
              <w:rPr>
                <w:rStyle w:val="Firstpagetablebold"/>
                <w:b w:val="0"/>
                <w:color w:val="auto"/>
              </w:rPr>
              <w:t xml:space="preserve">Constitution at </w:t>
            </w:r>
            <w:r w:rsidR="00EA57F3">
              <w:rPr>
                <w:rStyle w:val="Firstpagetablebold"/>
                <w:b w:val="0"/>
                <w:color w:val="auto"/>
              </w:rPr>
              <w:t>Appendix 2</w:t>
            </w:r>
            <w:r w:rsidR="00342E15">
              <w:rPr>
                <w:rStyle w:val="Firstpagetablebold"/>
                <w:b w:val="0"/>
                <w:color w:val="auto"/>
              </w:rPr>
              <w:t>;</w:t>
            </w:r>
          </w:p>
        </w:tc>
      </w:tr>
      <w:tr w:rsidR="00830204" w:rsidRPr="00975B07" w14:paraId="10F6768B" w14:textId="77777777" w:rsidTr="00830204">
        <w:trPr>
          <w:trHeight w:val="359"/>
        </w:trPr>
        <w:tc>
          <w:tcPr>
            <w:tcW w:w="591" w:type="dxa"/>
            <w:tcBorders>
              <w:top w:val="nil"/>
              <w:left w:val="single" w:sz="8" w:space="0" w:color="000000"/>
              <w:bottom w:val="nil"/>
              <w:right w:val="nil"/>
            </w:tcBorders>
          </w:tcPr>
          <w:p w14:paraId="7006317A" w14:textId="7D8FF2C7" w:rsidR="00830204" w:rsidRPr="00975B07" w:rsidRDefault="00830204" w:rsidP="00A53227">
            <w:r>
              <w:t>2.</w:t>
            </w:r>
          </w:p>
        </w:tc>
        <w:tc>
          <w:tcPr>
            <w:tcW w:w="8254" w:type="dxa"/>
            <w:gridSpan w:val="2"/>
            <w:tcBorders>
              <w:top w:val="nil"/>
              <w:left w:val="nil"/>
              <w:bottom w:val="nil"/>
              <w:right w:val="single" w:sz="8" w:space="0" w:color="000000"/>
            </w:tcBorders>
            <w:shd w:val="clear" w:color="auto" w:fill="auto"/>
          </w:tcPr>
          <w:p w14:paraId="2D96E5B1" w14:textId="0A3AF953" w:rsidR="00830204" w:rsidRPr="00E87941" w:rsidRDefault="00830204" w:rsidP="00A53227">
            <w:pPr>
              <w:rPr>
                <w:color w:val="auto"/>
              </w:rPr>
            </w:pPr>
            <w:r w:rsidRPr="00C51932">
              <w:rPr>
                <w:rStyle w:val="Firstpagetablebold"/>
                <w:color w:val="auto"/>
              </w:rPr>
              <w:t xml:space="preserve">Adopt </w:t>
            </w:r>
            <w:r w:rsidRPr="00C51932">
              <w:rPr>
                <w:rStyle w:val="Firstpagetablebold"/>
                <w:b w:val="0"/>
                <w:color w:val="auto"/>
              </w:rPr>
              <w:t>the revised Oxford City Council Constitution attached a</w:t>
            </w:r>
            <w:r>
              <w:rPr>
                <w:rStyle w:val="Firstpagetablebold"/>
                <w:b w:val="0"/>
                <w:color w:val="auto"/>
              </w:rPr>
              <w:t xml:space="preserve">t Appendix 2; </w:t>
            </w:r>
          </w:p>
        </w:tc>
      </w:tr>
      <w:tr w:rsidR="00916D33" w:rsidRPr="00975B07" w14:paraId="01CD2A17" w14:textId="77777777" w:rsidTr="00997B37">
        <w:trPr>
          <w:trHeight w:val="283"/>
        </w:trPr>
        <w:tc>
          <w:tcPr>
            <w:tcW w:w="591" w:type="dxa"/>
            <w:tcBorders>
              <w:top w:val="nil"/>
              <w:left w:val="single" w:sz="8" w:space="0" w:color="000000"/>
              <w:bottom w:val="nil"/>
              <w:right w:val="nil"/>
            </w:tcBorders>
          </w:tcPr>
          <w:p w14:paraId="30DCC81A" w14:textId="1661BFCC" w:rsidR="00805E26" w:rsidRPr="00830204" w:rsidRDefault="00E87941" w:rsidP="00997B37">
            <w:pPr>
              <w:rPr>
                <w:b/>
              </w:rPr>
            </w:pPr>
            <w:r>
              <w:t xml:space="preserve">3. </w:t>
            </w:r>
          </w:p>
        </w:tc>
        <w:tc>
          <w:tcPr>
            <w:tcW w:w="8254" w:type="dxa"/>
            <w:gridSpan w:val="2"/>
            <w:tcBorders>
              <w:top w:val="nil"/>
              <w:left w:val="nil"/>
              <w:bottom w:val="nil"/>
              <w:right w:val="single" w:sz="8" w:space="0" w:color="000000"/>
            </w:tcBorders>
            <w:shd w:val="clear" w:color="auto" w:fill="auto"/>
          </w:tcPr>
          <w:p w14:paraId="20F56916" w14:textId="7E471907" w:rsidR="00E87941" w:rsidRPr="00E87941" w:rsidRDefault="00E87941" w:rsidP="007964BC">
            <w:pPr>
              <w:rPr>
                <w:color w:val="auto"/>
              </w:rPr>
            </w:pPr>
            <w:r>
              <w:rPr>
                <w:rStyle w:val="Firstpagetablebold"/>
              </w:rPr>
              <w:t xml:space="preserve">Delegate </w:t>
            </w:r>
            <w:r>
              <w:rPr>
                <w:rStyle w:val="Firstpagetablebold"/>
                <w:b w:val="0"/>
              </w:rPr>
              <w:t xml:space="preserve">authority to the Head of Law &amp; Governance to amend the constitution </w:t>
            </w:r>
            <w:r w:rsidR="00B35D61">
              <w:rPr>
                <w:rStyle w:val="Firstpagetablebold"/>
                <w:b w:val="0"/>
              </w:rPr>
              <w:t xml:space="preserve">with effect from May 2021 </w:t>
            </w:r>
            <w:r>
              <w:rPr>
                <w:rStyle w:val="Firstpagetablebold"/>
                <w:b w:val="0"/>
              </w:rPr>
              <w:t>to reflect the changes to the planning committees.</w:t>
            </w:r>
          </w:p>
        </w:tc>
      </w:tr>
      <w:tr w:rsidR="00997B37" w:rsidRPr="00975B07" w14:paraId="49F04827" w14:textId="77777777" w:rsidTr="00997B37">
        <w:trPr>
          <w:trHeight w:val="283"/>
        </w:trPr>
        <w:tc>
          <w:tcPr>
            <w:tcW w:w="591" w:type="dxa"/>
            <w:tcBorders>
              <w:top w:val="nil"/>
              <w:left w:val="single" w:sz="8" w:space="0" w:color="000000"/>
              <w:bottom w:val="single" w:sz="4" w:space="0" w:color="auto"/>
              <w:right w:val="nil"/>
            </w:tcBorders>
          </w:tcPr>
          <w:p w14:paraId="36D47791" w14:textId="7EF81FA0" w:rsidR="00997B37" w:rsidRDefault="00830204" w:rsidP="00997B37">
            <w:r>
              <w:t>4</w:t>
            </w:r>
            <w:r w:rsidR="001D1761">
              <w:t>.</w:t>
            </w:r>
          </w:p>
        </w:tc>
        <w:tc>
          <w:tcPr>
            <w:tcW w:w="8254" w:type="dxa"/>
            <w:gridSpan w:val="2"/>
            <w:tcBorders>
              <w:top w:val="nil"/>
              <w:left w:val="nil"/>
              <w:bottom w:val="single" w:sz="4" w:space="0" w:color="auto"/>
              <w:right w:val="single" w:sz="8" w:space="0" w:color="000000"/>
            </w:tcBorders>
            <w:shd w:val="clear" w:color="auto" w:fill="auto"/>
          </w:tcPr>
          <w:p w14:paraId="0FFBCCE6" w14:textId="77777777" w:rsidR="00997B37" w:rsidRPr="00C51932" w:rsidRDefault="00997B37" w:rsidP="00997B37">
            <w:pPr>
              <w:rPr>
                <w:rStyle w:val="Firstpagetablebold"/>
                <w:b w:val="0"/>
                <w:color w:val="auto"/>
              </w:rPr>
            </w:pPr>
            <w:r w:rsidRPr="00C51932">
              <w:rPr>
                <w:rStyle w:val="Firstpagetablebold"/>
                <w:color w:val="auto"/>
              </w:rPr>
              <w:t>Delegate</w:t>
            </w:r>
            <w:r w:rsidRPr="00C51932">
              <w:rPr>
                <w:rStyle w:val="Firstpagetablebold"/>
                <w:b w:val="0"/>
                <w:color w:val="auto"/>
              </w:rPr>
              <w:t xml:space="preserve"> authority to the Head of Law and Governance to amend any further wording </w:t>
            </w:r>
            <w:r>
              <w:rPr>
                <w:rStyle w:val="Firstpagetablebold"/>
                <w:b w:val="0"/>
                <w:color w:val="auto"/>
              </w:rPr>
              <w:t xml:space="preserve">and/or numbering </w:t>
            </w:r>
            <w:r w:rsidRPr="00C51932">
              <w:rPr>
                <w:rStyle w:val="Firstpagetablebold"/>
                <w:b w:val="0"/>
                <w:color w:val="auto"/>
              </w:rPr>
              <w:t>that is identified as being inconsistent with the changes approved by Council.</w:t>
            </w:r>
          </w:p>
        </w:tc>
        <w:bookmarkStart w:id="0" w:name="_GoBack"/>
        <w:bookmarkEnd w:id="0"/>
      </w:tr>
    </w:tbl>
    <w:p w14:paraId="220CEDA4" w14:textId="77777777" w:rsidR="00CE544A" w:rsidRPr="009E51FC"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14:paraId="1C6D91CD" w14:textId="77777777" w:rsidTr="007B47A7">
        <w:tc>
          <w:tcPr>
            <w:tcW w:w="8844" w:type="dxa"/>
            <w:gridSpan w:val="2"/>
            <w:tcBorders>
              <w:bottom w:val="single" w:sz="8" w:space="0" w:color="000000"/>
            </w:tcBorders>
            <w:shd w:val="clear" w:color="auto" w:fill="auto"/>
          </w:tcPr>
          <w:p w14:paraId="65056E83" w14:textId="77777777" w:rsidR="00966D42" w:rsidRPr="00975B07" w:rsidRDefault="00966D42" w:rsidP="00263EA3">
            <w:pPr>
              <w:jc w:val="center"/>
            </w:pPr>
            <w:r w:rsidRPr="00745BF0">
              <w:rPr>
                <w:rStyle w:val="Firstpagetablebold"/>
              </w:rPr>
              <w:t>Appendices</w:t>
            </w:r>
          </w:p>
        </w:tc>
      </w:tr>
      <w:tr w:rsidR="007B47A7" w:rsidRPr="00975B07" w14:paraId="414FA76C" w14:textId="77777777" w:rsidTr="007B47A7">
        <w:tc>
          <w:tcPr>
            <w:tcW w:w="2438" w:type="dxa"/>
            <w:tcBorders>
              <w:top w:val="nil"/>
            </w:tcBorders>
            <w:shd w:val="clear" w:color="auto" w:fill="auto"/>
          </w:tcPr>
          <w:p w14:paraId="327F22C4" w14:textId="77777777" w:rsidR="007B47A7" w:rsidRPr="00342E15" w:rsidRDefault="001D1761" w:rsidP="004A6D2F">
            <w:pPr>
              <w:rPr>
                <w:color w:val="auto"/>
              </w:rPr>
            </w:pPr>
            <w:r>
              <w:rPr>
                <w:color w:val="auto"/>
              </w:rPr>
              <w:t>Appendix 1</w:t>
            </w:r>
          </w:p>
          <w:p w14:paraId="52658302" w14:textId="77777777" w:rsidR="00342E15" w:rsidRPr="00342E15" w:rsidRDefault="00342E15" w:rsidP="004A6D2F">
            <w:pPr>
              <w:rPr>
                <w:color w:val="auto"/>
              </w:rPr>
            </w:pPr>
            <w:r w:rsidRPr="00342E15">
              <w:rPr>
                <w:color w:val="auto"/>
              </w:rPr>
              <w:t xml:space="preserve">Appendix </w:t>
            </w:r>
            <w:r w:rsidR="001D1761">
              <w:rPr>
                <w:color w:val="auto"/>
              </w:rPr>
              <w:t>2</w:t>
            </w:r>
          </w:p>
        </w:tc>
        <w:tc>
          <w:tcPr>
            <w:tcW w:w="6406" w:type="dxa"/>
            <w:tcBorders>
              <w:top w:val="nil"/>
            </w:tcBorders>
          </w:tcPr>
          <w:p w14:paraId="1B5FBA59" w14:textId="77777777" w:rsidR="00342E15" w:rsidRPr="00342E15" w:rsidRDefault="00342E15" w:rsidP="00F750AD">
            <w:pPr>
              <w:rPr>
                <w:color w:val="auto"/>
              </w:rPr>
            </w:pPr>
            <w:r w:rsidRPr="00342E15">
              <w:rPr>
                <w:color w:val="auto"/>
              </w:rPr>
              <w:t>List of proposed amendments to the Constitution</w:t>
            </w:r>
          </w:p>
          <w:p w14:paraId="427C9AE9" w14:textId="1A9077B9" w:rsidR="007B47A7" w:rsidRPr="00342E15" w:rsidRDefault="007B47A7" w:rsidP="00C5446B">
            <w:pPr>
              <w:rPr>
                <w:color w:val="auto"/>
              </w:rPr>
            </w:pPr>
            <w:r w:rsidRPr="00342E15">
              <w:rPr>
                <w:color w:val="auto"/>
              </w:rPr>
              <w:t xml:space="preserve">Oxford City Council Constitution </w:t>
            </w:r>
            <w:r w:rsidR="00C5446B" w:rsidRPr="00342E15">
              <w:rPr>
                <w:color w:val="auto"/>
              </w:rPr>
              <w:t>202</w:t>
            </w:r>
            <w:r w:rsidR="00C5446B">
              <w:rPr>
                <w:color w:val="auto"/>
              </w:rPr>
              <w:t>1</w:t>
            </w:r>
            <w:r w:rsidR="00C5446B" w:rsidRPr="00342E15">
              <w:rPr>
                <w:color w:val="auto"/>
              </w:rPr>
              <w:t xml:space="preserve"> </w:t>
            </w:r>
            <w:r w:rsidRPr="00342E15">
              <w:rPr>
                <w:color w:val="auto"/>
              </w:rPr>
              <w:t>(with proposed amendments highlighted)</w:t>
            </w:r>
          </w:p>
        </w:tc>
      </w:tr>
    </w:tbl>
    <w:p w14:paraId="27D6BEB7" w14:textId="77777777" w:rsidR="00B936A5" w:rsidRDefault="00B936A5" w:rsidP="00B936A5">
      <w:pPr>
        <w:pStyle w:val="Heading1"/>
        <w:spacing w:before="0"/>
      </w:pPr>
    </w:p>
    <w:p w14:paraId="745F3C35" w14:textId="77777777" w:rsidR="0040736F" w:rsidRPr="001356F1" w:rsidRDefault="00F66DCA" w:rsidP="00FB0487">
      <w:pPr>
        <w:pStyle w:val="Heading1"/>
        <w:spacing w:before="0"/>
      </w:pPr>
      <w:r w:rsidRPr="001356F1">
        <w:t>Introduction and b</w:t>
      </w:r>
      <w:r w:rsidR="00151888" w:rsidRPr="001356F1">
        <w:t>ackground</w:t>
      </w:r>
      <w:r w:rsidR="00404032" w:rsidRPr="001356F1">
        <w:t xml:space="preserve"> </w:t>
      </w:r>
    </w:p>
    <w:p w14:paraId="0495B345" w14:textId="77777777" w:rsidR="00FB0487" w:rsidRDefault="00E715C7" w:rsidP="00062BB1">
      <w:pPr>
        <w:pStyle w:val="Heading1"/>
        <w:numPr>
          <w:ilvl w:val="0"/>
          <w:numId w:val="34"/>
        </w:numPr>
        <w:spacing w:before="0"/>
        <w:ind w:left="426" w:hanging="426"/>
        <w:rPr>
          <w:b w:val="0"/>
        </w:rPr>
      </w:pPr>
      <w:r w:rsidRPr="00E715C7">
        <w:rPr>
          <w:b w:val="0"/>
        </w:rPr>
        <w:t>The</w:t>
      </w:r>
      <w:r>
        <w:rPr>
          <w:b w:val="0"/>
        </w:rPr>
        <w:t xml:space="preserve"> Constitution</w:t>
      </w:r>
      <w:r w:rsidRPr="00E715C7">
        <w:rPr>
          <w:b w:val="0"/>
        </w:rPr>
        <w:t xml:space="preserve"> forms a key part of the Council’s governance framework, setting rules, principles and procedures to enable the Council to take decisions and do its work effectively.  </w:t>
      </w:r>
    </w:p>
    <w:p w14:paraId="7E0B14D6" w14:textId="51664D98" w:rsidR="00E715C7" w:rsidRPr="00FB0487" w:rsidRDefault="00E715C7" w:rsidP="00FB57B4">
      <w:pPr>
        <w:pStyle w:val="Heading1"/>
        <w:numPr>
          <w:ilvl w:val="0"/>
          <w:numId w:val="34"/>
        </w:numPr>
        <w:spacing w:before="0" w:after="0"/>
        <w:rPr>
          <w:b w:val="0"/>
        </w:rPr>
      </w:pPr>
      <w:r w:rsidRPr="00E715C7">
        <w:rPr>
          <w:b w:val="0"/>
        </w:rPr>
        <w:lastRenderedPageBreak/>
        <w:t xml:space="preserve">The Constitution is reviewed annually to ensure that it continues to </w:t>
      </w:r>
      <w:r w:rsidR="003F0CC9">
        <w:rPr>
          <w:b w:val="0"/>
        </w:rPr>
        <w:t xml:space="preserve">properly </w:t>
      </w:r>
      <w:r w:rsidRPr="00E715C7">
        <w:rPr>
          <w:b w:val="0"/>
        </w:rPr>
        <w:t>reflect</w:t>
      </w:r>
      <w:r w:rsidR="00A575B1">
        <w:rPr>
          <w:b w:val="0"/>
        </w:rPr>
        <w:t xml:space="preserve"> </w:t>
      </w:r>
      <w:r w:rsidRPr="00E715C7">
        <w:rPr>
          <w:b w:val="0"/>
        </w:rPr>
        <w:t xml:space="preserve">the law and </w:t>
      </w:r>
      <w:r w:rsidR="00295311">
        <w:rPr>
          <w:b w:val="0"/>
        </w:rPr>
        <w:t xml:space="preserve">meet the needs of the Council. </w:t>
      </w:r>
      <w:r w:rsidR="00D3675F">
        <w:rPr>
          <w:b w:val="0"/>
        </w:rPr>
        <w:t xml:space="preserve">This is both a tidying up exercise and an opportunity to respond to governance </w:t>
      </w:r>
      <w:r w:rsidR="00962613">
        <w:rPr>
          <w:b w:val="0"/>
        </w:rPr>
        <w:t xml:space="preserve">changes and </w:t>
      </w:r>
      <w:r w:rsidR="00D3675F">
        <w:rPr>
          <w:b w:val="0"/>
        </w:rPr>
        <w:t>issues that have ari</w:t>
      </w:r>
      <w:r w:rsidR="00295311">
        <w:rPr>
          <w:b w:val="0"/>
        </w:rPr>
        <w:t xml:space="preserve">sen since the previous review. </w:t>
      </w:r>
      <w:r w:rsidR="00FB57B4" w:rsidRPr="00FB57B4">
        <w:rPr>
          <w:b w:val="0"/>
        </w:rPr>
        <w:t>A Cross-Party Constitution Review Working Group (“the Group”) was formed to consider suggestions from officers and elected members and shape</w:t>
      </w:r>
      <w:r w:rsidR="00FB57B4">
        <w:rPr>
          <w:b w:val="0"/>
        </w:rPr>
        <w:t xml:space="preserve"> the proposals before Council. </w:t>
      </w:r>
      <w:r w:rsidR="00FB57B4" w:rsidRPr="00FB57B4">
        <w:rPr>
          <w:b w:val="0"/>
        </w:rPr>
        <w:t xml:space="preserve">The Group was chaired by Councillor Chapman and its membership also included: Councillors </w:t>
      </w:r>
      <w:r w:rsidR="00E87941">
        <w:rPr>
          <w:b w:val="0"/>
        </w:rPr>
        <w:t xml:space="preserve">Cook, </w:t>
      </w:r>
      <w:r w:rsidR="00FB57B4" w:rsidRPr="00FB57B4">
        <w:rPr>
          <w:b w:val="0"/>
        </w:rPr>
        <w:t>Gant</w:t>
      </w:r>
      <w:r w:rsidR="00E87941">
        <w:rPr>
          <w:b w:val="0"/>
        </w:rPr>
        <w:t>,</w:t>
      </w:r>
      <w:r w:rsidR="00FB57B4" w:rsidRPr="00FB57B4">
        <w:rPr>
          <w:b w:val="0"/>
        </w:rPr>
        <w:t xml:space="preserve"> </w:t>
      </w:r>
      <w:proofErr w:type="spellStart"/>
      <w:r w:rsidR="002378AB">
        <w:rPr>
          <w:b w:val="0"/>
        </w:rPr>
        <w:t>Lygo</w:t>
      </w:r>
      <w:proofErr w:type="spellEnd"/>
      <w:r w:rsidR="00FB57B4" w:rsidRPr="00FB57B4">
        <w:rPr>
          <w:b w:val="0"/>
        </w:rPr>
        <w:t xml:space="preserve">, </w:t>
      </w:r>
      <w:r w:rsidR="00E87941">
        <w:rPr>
          <w:b w:val="0"/>
        </w:rPr>
        <w:t>Linda</w:t>
      </w:r>
      <w:r w:rsidR="00FB57B4" w:rsidRPr="00FB57B4">
        <w:rPr>
          <w:b w:val="0"/>
        </w:rPr>
        <w:t xml:space="preserve"> Smith</w:t>
      </w:r>
      <w:r w:rsidR="002378AB">
        <w:rPr>
          <w:b w:val="0"/>
        </w:rPr>
        <w:t xml:space="preserve">, </w:t>
      </w:r>
      <w:r w:rsidR="00E87941">
        <w:rPr>
          <w:b w:val="0"/>
        </w:rPr>
        <w:t>Roz</w:t>
      </w:r>
      <w:r w:rsidR="002378AB">
        <w:rPr>
          <w:b w:val="0"/>
        </w:rPr>
        <w:t xml:space="preserve"> Smith</w:t>
      </w:r>
      <w:r w:rsidR="00F23154">
        <w:rPr>
          <w:b w:val="0"/>
        </w:rPr>
        <w:t xml:space="preserve"> and Wolff. </w:t>
      </w:r>
      <w:r w:rsidR="00FB57B4" w:rsidRPr="00FB57B4">
        <w:rPr>
          <w:b w:val="0"/>
        </w:rPr>
        <w:t xml:space="preserve">The Group held meetings on </w:t>
      </w:r>
      <w:r w:rsidR="002378AB">
        <w:rPr>
          <w:b w:val="0"/>
        </w:rPr>
        <w:t>11 November</w:t>
      </w:r>
      <w:r w:rsidR="00FB57B4" w:rsidRPr="00FB57B4">
        <w:rPr>
          <w:b w:val="0"/>
        </w:rPr>
        <w:t xml:space="preserve">, </w:t>
      </w:r>
      <w:r w:rsidR="002378AB">
        <w:rPr>
          <w:b w:val="0"/>
        </w:rPr>
        <w:t>11 December 2020</w:t>
      </w:r>
      <w:r w:rsidR="00FB57B4" w:rsidRPr="00FB57B4">
        <w:rPr>
          <w:b w:val="0"/>
        </w:rPr>
        <w:t xml:space="preserve"> and </w:t>
      </w:r>
      <w:r w:rsidR="002378AB">
        <w:rPr>
          <w:b w:val="0"/>
        </w:rPr>
        <w:t>13 January 2021</w:t>
      </w:r>
      <w:r w:rsidR="00830204">
        <w:rPr>
          <w:b w:val="0"/>
        </w:rPr>
        <w:t>.</w:t>
      </w:r>
    </w:p>
    <w:p w14:paraId="0A2B4D7B" w14:textId="77777777" w:rsidR="00E715C7" w:rsidRPr="00E715C7" w:rsidRDefault="00E715C7" w:rsidP="00C51932">
      <w:pPr>
        <w:pStyle w:val="ListParagraph"/>
        <w:spacing w:after="0"/>
        <w:ind w:left="357"/>
      </w:pPr>
    </w:p>
    <w:p w14:paraId="3A48255A" w14:textId="77777777" w:rsidR="00633578" w:rsidRPr="001356F1" w:rsidRDefault="00E715C7" w:rsidP="00FB0487">
      <w:pPr>
        <w:pStyle w:val="Heading1"/>
        <w:spacing w:before="0"/>
      </w:pPr>
      <w:r>
        <w:t>Proposed amendments</w:t>
      </w:r>
    </w:p>
    <w:p w14:paraId="7CCDB3FA" w14:textId="31CB11D5" w:rsidR="00C51932" w:rsidRDefault="00E715C7" w:rsidP="00793E1B">
      <w:pPr>
        <w:pStyle w:val="bParagraphtext"/>
        <w:numPr>
          <w:ilvl w:val="0"/>
          <w:numId w:val="34"/>
        </w:numPr>
        <w:ind w:left="425" w:hanging="425"/>
      </w:pPr>
      <w:r w:rsidRPr="00C51932">
        <w:rPr>
          <w:rStyle w:val="ListParagraphChar"/>
          <w:color w:val="auto"/>
        </w:rPr>
        <w:t xml:space="preserve">A list of </w:t>
      </w:r>
      <w:r w:rsidR="007B47A7" w:rsidRPr="00C51932">
        <w:rPr>
          <w:rStyle w:val="ListParagraphChar"/>
          <w:color w:val="auto"/>
        </w:rPr>
        <w:t xml:space="preserve">the </w:t>
      </w:r>
      <w:r w:rsidRPr="00C51932">
        <w:rPr>
          <w:rStyle w:val="ListParagraphChar"/>
          <w:color w:val="auto"/>
        </w:rPr>
        <w:t xml:space="preserve">proposed amendments </w:t>
      </w:r>
      <w:r w:rsidR="00062BB1" w:rsidRPr="00C51932">
        <w:rPr>
          <w:rStyle w:val="ListParagraphChar"/>
          <w:color w:val="auto"/>
        </w:rPr>
        <w:t>resulting from</w:t>
      </w:r>
      <w:r w:rsidR="0069476D" w:rsidRPr="00C51932">
        <w:rPr>
          <w:rStyle w:val="ListParagraphChar"/>
          <w:color w:val="auto"/>
        </w:rPr>
        <w:t xml:space="preserve"> the Constitution Re</w:t>
      </w:r>
      <w:r w:rsidR="002378AB">
        <w:rPr>
          <w:rStyle w:val="ListParagraphChar"/>
          <w:color w:val="auto"/>
        </w:rPr>
        <w:t>view 2020</w:t>
      </w:r>
      <w:r w:rsidR="00E87941">
        <w:rPr>
          <w:rStyle w:val="ListParagraphChar"/>
          <w:color w:val="auto"/>
        </w:rPr>
        <w:t>/21</w:t>
      </w:r>
      <w:r w:rsidR="0069476D" w:rsidRPr="00C51932">
        <w:rPr>
          <w:rStyle w:val="ListParagraphChar"/>
          <w:color w:val="auto"/>
        </w:rPr>
        <w:t xml:space="preserve"> </w:t>
      </w:r>
      <w:r w:rsidR="00295311">
        <w:rPr>
          <w:rStyle w:val="ListParagraphChar"/>
          <w:color w:val="auto"/>
        </w:rPr>
        <w:t xml:space="preserve">is attached as </w:t>
      </w:r>
      <w:r w:rsidR="00923140">
        <w:rPr>
          <w:rStyle w:val="ListParagraphChar"/>
          <w:color w:val="auto"/>
        </w:rPr>
        <w:t>Appendix 1</w:t>
      </w:r>
      <w:r w:rsidRPr="00EC79C1">
        <w:rPr>
          <w:rStyle w:val="ListParagraphChar"/>
          <w:color w:val="auto"/>
        </w:rPr>
        <w:t>.</w:t>
      </w:r>
      <w:r>
        <w:rPr>
          <w:rStyle w:val="ListParagraphChar"/>
        </w:rPr>
        <w:t xml:space="preserve"> </w:t>
      </w:r>
      <w:r w:rsidRPr="00E715C7">
        <w:t xml:space="preserve">Many of the proposed amendments are intended to provide </w:t>
      </w:r>
      <w:r w:rsidR="008411D8">
        <w:t xml:space="preserve">additional </w:t>
      </w:r>
      <w:r w:rsidRPr="00E715C7">
        <w:t xml:space="preserve">clarity about existing rules or to better reflect current practices where these have </w:t>
      </w:r>
      <w:r w:rsidR="00C51932">
        <w:t>changed</w:t>
      </w:r>
      <w:r w:rsidR="00290FF8">
        <w:t xml:space="preserve"> since the Constitution was last updated</w:t>
      </w:r>
      <w:r w:rsidR="008411D8">
        <w:t xml:space="preserve"> by Council</w:t>
      </w:r>
      <w:r w:rsidR="00C51932">
        <w:t xml:space="preserve"> in </w:t>
      </w:r>
      <w:r w:rsidR="002378AB">
        <w:t>January 2020</w:t>
      </w:r>
      <w:r w:rsidR="00830204">
        <w:t>.</w:t>
      </w:r>
    </w:p>
    <w:p w14:paraId="7A7E6631" w14:textId="716A54E4" w:rsidR="00555AFA" w:rsidRDefault="00062BB1" w:rsidP="008A5929">
      <w:pPr>
        <w:pStyle w:val="bParagraphtext"/>
        <w:numPr>
          <w:ilvl w:val="0"/>
          <w:numId w:val="34"/>
        </w:numPr>
        <w:ind w:left="425" w:hanging="425"/>
        <w:rPr>
          <w:rStyle w:val="ListParagraphChar"/>
        </w:rPr>
      </w:pPr>
      <w:r w:rsidRPr="00C51932">
        <w:rPr>
          <w:color w:val="auto"/>
        </w:rPr>
        <w:t>A</w:t>
      </w:r>
      <w:r w:rsidR="0069476D" w:rsidRPr="00C51932">
        <w:rPr>
          <w:color w:val="auto"/>
        </w:rPr>
        <w:t xml:space="preserve"> number of </w:t>
      </w:r>
      <w:r w:rsidR="007B47A7" w:rsidRPr="00C51932">
        <w:rPr>
          <w:color w:val="auto"/>
        </w:rPr>
        <w:t>proposals do represent changes to</w:t>
      </w:r>
      <w:r w:rsidR="0069476D" w:rsidRPr="00C51932">
        <w:rPr>
          <w:color w:val="auto"/>
        </w:rPr>
        <w:t xml:space="preserve"> current arrangements</w:t>
      </w:r>
      <w:r w:rsidR="007B47A7" w:rsidRPr="00C51932">
        <w:rPr>
          <w:color w:val="auto"/>
        </w:rPr>
        <w:t xml:space="preserve"> and as such may be of particular interest to elected members and the public.</w:t>
      </w:r>
      <w:r w:rsidR="00295311">
        <w:rPr>
          <w:color w:val="auto"/>
        </w:rPr>
        <w:t xml:space="preserve"> </w:t>
      </w:r>
      <w:r w:rsidR="005E5D3A" w:rsidRPr="00C51932">
        <w:rPr>
          <w:color w:val="auto"/>
        </w:rPr>
        <w:t>These changes are explained in more detail</w:t>
      </w:r>
      <w:r w:rsidR="005E5D3A" w:rsidRPr="00C51932">
        <w:rPr>
          <w:color w:val="FF0000"/>
        </w:rPr>
        <w:t xml:space="preserve"> </w:t>
      </w:r>
      <w:r w:rsidR="008A5929">
        <w:rPr>
          <w:color w:val="auto"/>
        </w:rPr>
        <w:t>in the table below.</w:t>
      </w:r>
    </w:p>
    <w:p w14:paraId="5E23670D" w14:textId="77777777" w:rsidR="003F0CC9" w:rsidRPr="007B7454" w:rsidRDefault="003F0CC9" w:rsidP="003F0CC9">
      <w:pPr>
        <w:spacing w:after="0"/>
        <w:rPr>
          <w:rFonts w:eastAsia="Calibri" w:cs="Arial"/>
          <w:b/>
        </w:rPr>
      </w:pPr>
    </w:p>
    <w:tbl>
      <w:tblPr>
        <w:tblStyle w:val="TableGrid"/>
        <w:tblW w:w="9639" w:type="dxa"/>
        <w:tblInd w:w="137" w:type="dxa"/>
        <w:tblLayout w:type="fixed"/>
        <w:tblLook w:val="04A0" w:firstRow="1" w:lastRow="0" w:firstColumn="1" w:lastColumn="0" w:noHBand="0" w:noVBand="1"/>
      </w:tblPr>
      <w:tblGrid>
        <w:gridCol w:w="1701"/>
        <w:gridCol w:w="3686"/>
        <w:gridCol w:w="4252"/>
      </w:tblGrid>
      <w:tr w:rsidR="003F0CC9" w14:paraId="71FD13E1" w14:textId="77777777" w:rsidTr="00830204">
        <w:tc>
          <w:tcPr>
            <w:tcW w:w="1701" w:type="dxa"/>
          </w:tcPr>
          <w:p w14:paraId="0F35444E" w14:textId="77777777" w:rsidR="003F0CC9" w:rsidRPr="007B7454" w:rsidRDefault="003F0CC9" w:rsidP="002F3FCE">
            <w:pPr>
              <w:rPr>
                <w:rFonts w:eastAsia="Calibri"/>
                <w:b/>
              </w:rPr>
            </w:pPr>
            <w:r>
              <w:rPr>
                <w:rFonts w:eastAsia="Calibri"/>
                <w:b/>
              </w:rPr>
              <w:t>Constitution reference</w:t>
            </w:r>
          </w:p>
        </w:tc>
        <w:tc>
          <w:tcPr>
            <w:tcW w:w="3686" w:type="dxa"/>
          </w:tcPr>
          <w:p w14:paraId="098A0B01" w14:textId="77777777" w:rsidR="003F0CC9" w:rsidRPr="007B7454" w:rsidRDefault="003F0CC9" w:rsidP="002F3FCE">
            <w:pPr>
              <w:rPr>
                <w:rFonts w:eastAsia="Calibri"/>
                <w:b/>
              </w:rPr>
            </w:pPr>
            <w:r w:rsidRPr="007B7454">
              <w:rPr>
                <w:rFonts w:eastAsia="Calibri"/>
                <w:b/>
              </w:rPr>
              <w:t>Proposed change</w:t>
            </w:r>
            <w:r>
              <w:rPr>
                <w:rFonts w:eastAsia="Calibri"/>
                <w:b/>
              </w:rPr>
              <w:t>(s)</w:t>
            </w:r>
          </w:p>
        </w:tc>
        <w:tc>
          <w:tcPr>
            <w:tcW w:w="4252" w:type="dxa"/>
          </w:tcPr>
          <w:p w14:paraId="0FD4CE5A" w14:textId="77777777" w:rsidR="003F0CC9" w:rsidRPr="007B7454" w:rsidRDefault="003F0CC9" w:rsidP="002F3FCE">
            <w:pPr>
              <w:rPr>
                <w:rFonts w:eastAsia="Calibri"/>
                <w:b/>
              </w:rPr>
            </w:pPr>
            <w:r w:rsidRPr="007B7454">
              <w:rPr>
                <w:rFonts w:eastAsia="Calibri"/>
                <w:b/>
              </w:rPr>
              <w:t>Rationale</w:t>
            </w:r>
          </w:p>
        </w:tc>
      </w:tr>
      <w:tr w:rsidR="00A14786" w14:paraId="74C77D3A" w14:textId="77777777" w:rsidTr="00830204">
        <w:tc>
          <w:tcPr>
            <w:tcW w:w="1701" w:type="dxa"/>
          </w:tcPr>
          <w:p w14:paraId="6B9C0238" w14:textId="3D588AF4" w:rsidR="00A14786" w:rsidRDefault="00A14786" w:rsidP="002F3FCE">
            <w:pPr>
              <w:rPr>
                <w:rFonts w:eastAsia="Calibri"/>
              </w:rPr>
            </w:pPr>
            <w:r>
              <w:rPr>
                <w:rFonts w:eastAsia="Calibri"/>
              </w:rPr>
              <w:t>Council responsibilities and Executive responsibilities</w:t>
            </w:r>
          </w:p>
          <w:p w14:paraId="3447A9F7" w14:textId="44893721" w:rsidR="00A14786" w:rsidRPr="00A14786" w:rsidRDefault="00A14786" w:rsidP="002F3FCE">
            <w:pPr>
              <w:rPr>
                <w:rFonts w:eastAsia="Calibri"/>
              </w:rPr>
            </w:pPr>
            <w:r>
              <w:rPr>
                <w:rFonts w:eastAsia="Calibri"/>
              </w:rPr>
              <w:t>Part 3.7</w:t>
            </w:r>
          </w:p>
        </w:tc>
        <w:tc>
          <w:tcPr>
            <w:tcW w:w="3686" w:type="dxa"/>
          </w:tcPr>
          <w:p w14:paraId="3C50499D" w14:textId="2D010BF7" w:rsidR="006D7803" w:rsidRPr="006D7803" w:rsidRDefault="00A14786" w:rsidP="00A14786">
            <w:pPr>
              <w:pStyle w:val="ListParagraph"/>
              <w:numPr>
                <w:ilvl w:val="0"/>
                <w:numId w:val="47"/>
              </w:numPr>
              <w:rPr>
                <w:rFonts w:eastAsia="Calibri"/>
              </w:rPr>
            </w:pPr>
            <w:r w:rsidRPr="00A14786">
              <w:rPr>
                <w:rFonts w:eastAsia="Calibri"/>
              </w:rPr>
              <w:t xml:space="preserve">To make provision in the Constitution for the Council to enter into joint arrangements with other local authorities if required. </w:t>
            </w:r>
          </w:p>
        </w:tc>
        <w:tc>
          <w:tcPr>
            <w:tcW w:w="4252" w:type="dxa"/>
          </w:tcPr>
          <w:p w14:paraId="6F24E08D" w14:textId="708DD703" w:rsidR="00A14786" w:rsidRPr="00A14786" w:rsidRDefault="00A14786" w:rsidP="002F3FCE">
            <w:pPr>
              <w:rPr>
                <w:rFonts w:eastAsia="Calibri"/>
              </w:rPr>
            </w:pPr>
            <w:r w:rsidRPr="00A14786">
              <w:rPr>
                <w:rFonts w:eastAsia="Calibri"/>
              </w:rPr>
              <w:t>The Council has the ability to enter into joint arrangements under the Local Government Act 1972 (as amended) and provisions for joint arrangements are not currently included in the Constitution. Joint arrangements may be for functions that are legally the responsibility of the Leader (executive) or Council (non-executive).</w:t>
            </w:r>
          </w:p>
        </w:tc>
      </w:tr>
      <w:tr w:rsidR="00A14786" w14:paraId="7DC95184" w14:textId="77777777" w:rsidTr="00830204">
        <w:tc>
          <w:tcPr>
            <w:tcW w:w="1701" w:type="dxa"/>
          </w:tcPr>
          <w:p w14:paraId="6531B9A6" w14:textId="77777777" w:rsidR="00A14786" w:rsidRDefault="00A14786" w:rsidP="002F3FCE">
            <w:pPr>
              <w:rPr>
                <w:rFonts w:eastAsia="Calibri"/>
              </w:rPr>
            </w:pPr>
          </w:p>
        </w:tc>
        <w:tc>
          <w:tcPr>
            <w:tcW w:w="3686" w:type="dxa"/>
          </w:tcPr>
          <w:p w14:paraId="63720AAD" w14:textId="77777777" w:rsidR="00A14786" w:rsidRPr="00A14786" w:rsidRDefault="00A14786" w:rsidP="00A14786">
            <w:pPr>
              <w:pStyle w:val="ListParagraph"/>
              <w:numPr>
                <w:ilvl w:val="0"/>
                <w:numId w:val="47"/>
              </w:numPr>
              <w:rPr>
                <w:rFonts w:eastAsia="Calibri"/>
              </w:rPr>
            </w:pPr>
            <w:r w:rsidRPr="00A14786">
              <w:rPr>
                <w:rFonts w:eastAsia="Calibri"/>
              </w:rPr>
              <w:t>To make provision in the Constitution for the Council to delegate to or accept delegation from other local authorities if required and to clarify the responsibility for any such delegations.</w:t>
            </w:r>
          </w:p>
          <w:p w14:paraId="3FAC11B0" w14:textId="0A0F5D6E" w:rsidR="00A14786" w:rsidRPr="00A14786" w:rsidRDefault="00A14786" w:rsidP="00A14786">
            <w:pPr>
              <w:pStyle w:val="ListParagraph"/>
              <w:ind w:left="360"/>
              <w:rPr>
                <w:rFonts w:eastAsia="Calibri"/>
              </w:rPr>
            </w:pPr>
          </w:p>
        </w:tc>
        <w:tc>
          <w:tcPr>
            <w:tcW w:w="4252" w:type="dxa"/>
          </w:tcPr>
          <w:p w14:paraId="472F547E" w14:textId="10077B3C" w:rsidR="00A14786" w:rsidRPr="00A14786" w:rsidRDefault="00A14786" w:rsidP="002F3FCE">
            <w:pPr>
              <w:rPr>
                <w:rFonts w:eastAsia="Calibri"/>
              </w:rPr>
            </w:pPr>
            <w:r w:rsidRPr="00A14786">
              <w:rPr>
                <w:rFonts w:eastAsia="Calibri"/>
              </w:rPr>
              <w:t>The Council has the ability under the Local Government Act 1972 (as amended) to arrange for its functions to be undertaken by another local authority by agreement. Equally other local authorities have the ability to delegate functions to the Council, as Oxfordshire County Council has recently done with Covid-19 enforcement powers. Provisions for making and accepting such delegations are not currently included in the Constitution</w:t>
            </w:r>
          </w:p>
        </w:tc>
      </w:tr>
      <w:tr w:rsidR="003F0CC9" w14:paraId="57711FD2" w14:textId="77777777" w:rsidTr="00830204">
        <w:tc>
          <w:tcPr>
            <w:tcW w:w="1701" w:type="dxa"/>
          </w:tcPr>
          <w:p w14:paraId="14F09FFE" w14:textId="77777777" w:rsidR="003F0CC9" w:rsidRDefault="00F23154" w:rsidP="002F3FCE">
            <w:pPr>
              <w:rPr>
                <w:rFonts w:eastAsia="Calibri"/>
              </w:rPr>
            </w:pPr>
            <w:r>
              <w:rPr>
                <w:rFonts w:eastAsia="Calibri"/>
              </w:rPr>
              <w:t xml:space="preserve">Executive </w:t>
            </w:r>
            <w:r w:rsidR="005756B9">
              <w:rPr>
                <w:rFonts w:eastAsia="Calibri"/>
              </w:rPr>
              <w:t>Responsibilities</w:t>
            </w:r>
          </w:p>
          <w:p w14:paraId="6E36937C" w14:textId="77777777" w:rsidR="005756B9" w:rsidRDefault="005756B9" w:rsidP="002F3FCE">
            <w:pPr>
              <w:rPr>
                <w:rFonts w:eastAsia="Calibri"/>
              </w:rPr>
            </w:pPr>
            <w:r>
              <w:rPr>
                <w:rFonts w:eastAsia="Calibri"/>
              </w:rPr>
              <w:t>Part 4.6</w:t>
            </w:r>
          </w:p>
        </w:tc>
        <w:tc>
          <w:tcPr>
            <w:tcW w:w="3686" w:type="dxa"/>
          </w:tcPr>
          <w:p w14:paraId="3EC4EF70" w14:textId="77777777" w:rsidR="003F0CC9" w:rsidRPr="00D25AD1" w:rsidRDefault="005756B9" w:rsidP="001A29ED">
            <w:pPr>
              <w:pStyle w:val="ListParagraph"/>
              <w:numPr>
                <w:ilvl w:val="0"/>
                <w:numId w:val="40"/>
              </w:numPr>
              <w:tabs>
                <w:tab w:val="clear" w:pos="426"/>
              </w:tabs>
              <w:spacing w:after="0"/>
              <w:contextualSpacing/>
              <w:rPr>
                <w:rFonts w:eastAsia="Calibri"/>
              </w:rPr>
            </w:pPr>
            <w:r>
              <w:rPr>
                <w:rFonts w:eastAsia="Calibri"/>
              </w:rPr>
              <w:t>To include arrangements for single Cabinet member decisions and the parameters for this</w:t>
            </w:r>
            <w:r w:rsidR="001A29ED">
              <w:rPr>
                <w:rFonts w:eastAsia="Calibri"/>
              </w:rPr>
              <w:t>.</w:t>
            </w:r>
            <w:r w:rsidR="00C5446B">
              <w:rPr>
                <w:rFonts w:eastAsia="Calibri"/>
              </w:rPr>
              <w:t xml:space="preserve"> </w:t>
            </w:r>
          </w:p>
        </w:tc>
        <w:tc>
          <w:tcPr>
            <w:tcW w:w="4252" w:type="dxa"/>
          </w:tcPr>
          <w:p w14:paraId="24226B0A" w14:textId="7BD0D8C0" w:rsidR="003F0CC9" w:rsidRDefault="00A32882" w:rsidP="009D73CB">
            <w:pPr>
              <w:rPr>
                <w:rFonts w:eastAsia="Calibri"/>
              </w:rPr>
            </w:pPr>
            <w:r w:rsidRPr="00A32882">
              <w:rPr>
                <w:rFonts w:eastAsia="Calibri"/>
              </w:rPr>
              <w:t xml:space="preserve">Provisions for single Cabinet Member decisions are not currently included in the Constitution. </w:t>
            </w:r>
            <w:r w:rsidR="001A29ED">
              <w:rPr>
                <w:rFonts w:eastAsia="Calibri"/>
              </w:rPr>
              <w:t xml:space="preserve">This is </w:t>
            </w:r>
            <w:r w:rsidR="001A29ED" w:rsidRPr="001A29ED">
              <w:rPr>
                <w:rFonts w:eastAsia="Calibri"/>
              </w:rPr>
              <w:t xml:space="preserve">to reflect a decision of the Leader to delegate decisions within a specific project approval (the </w:t>
            </w:r>
            <w:r w:rsidR="004E5C34">
              <w:rPr>
                <w:rFonts w:eastAsia="Calibri"/>
              </w:rPr>
              <w:t>property</w:t>
            </w:r>
            <w:r w:rsidR="001A29ED" w:rsidRPr="001A29ED">
              <w:rPr>
                <w:rFonts w:eastAsia="Calibri"/>
              </w:rPr>
              <w:t xml:space="preserve"> investment strategy) to a single Cabinet Member.</w:t>
            </w:r>
            <w:r w:rsidR="001A29ED">
              <w:rPr>
                <w:rFonts w:eastAsia="Calibri"/>
              </w:rPr>
              <w:t xml:space="preserve"> </w:t>
            </w:r>
            <w:r w:rsidRPr="00A32882">
              <w:rPr>
                <w:rFonts w:eastAsia="Calibri"/>
              </w:rPr>
              <w:t>The proposal sets out the arrangements for any such decisions, including the need for a written report to be provided to the Cabinet Member.</w:t>
            </w:r>
            <w:r w:rsidR="009D73CB">
              <w:rPr>
                <w:rFonts w:eastAsia="Calibri"/>
              </w:rPr>
              <w:t xml:space="preserve"> </w:t>
            </w:r>
            <w:r w:rsidR="00BA69C8" w:rsidRPr="00BA69C8">
              <w:rPr>
                <w:rFonts w:eastAsia="Calibri"/>
              </w:rPr>
              <w:t>Key decision procedures and call in procedures will apply to any key decisions delegated to a single Cabinet Member.</w:t>
            </w:r>
          </w:p>
        </w:tc>
      </w:tr>
      <w:tr w:rsidR="00E54F88" w14:paraId="4A9BCB88" w14:textId="77777777" w:rsidTr="00830204">
        <w:tc>
          <w:tcPr>
            <w:tcW w:w="1701" w:type="dxa"/>
          </w:tcPr>
          <w:p w14:paraId="3D2C86AC" w14:textId="77777777" w:rsidR="00E54F88" w:rsidRDefault="00E54F88" w:rsidP="002F3FCE">
            <w:pPr>
              <w:rPr>
                <w:rFonts w:eastAsia="Calibri"/>
              </w:rPr>
            </w:pPr>
          </w:p>
        </w:tc>
        <w:tc>
          <w:tcPr>
            <w:tcW w:w="3686" w:type="dxa"/>
          </w:tcPr>
          <w:p w14:paraId="703750C0" w14:textId="646C5F2B" w:rsidR="00E54F88" w:rsidRDefault="00E54F88" w:rsidP="00E54F88">
            <w:pPr>
              <w:pStyle w:val="ListParagraph"/>
              <w:numPr>
                <w:ilvl w:val="0"/>
                <w:numId w:val="40"/>
              </w:numPr>
              <w:tabs>
                <w:tab w:val="clear" w:pos="426"/>
              </w:tabs>
              <w:spacing w:after="0"/>
              <w:contextualSpacing/>
              <w:rPr>
                <w:rFonts w:eastAsia="Calibri"/>
              </w:rPr>
            </w:pPr>
            <w:r w:rsidRPr="00E54F88">
              <w:rPr>
                <w:rFonts w:eastAsia="Calibri"/>
              </w:rPr>
              <w:t>To clarify that ward member budget spend allocations cannot be awarded to benefit individuals.</w:t>
            </w:r>
          </w:p>
        </w:tc>
        <w:tc>
          <w:tcPr>
            <w:tcW w:w="4252" w:type="dxa"/>
          </w:tcPr>
          <w:p w14:paraId="1521BEA7" w14:textId="7B64C1A7" w:rsidR="00E54F88" w:rsidRPr="00A32882" w:rsidRDefault="00E54F88" w:rsidP="004E5C34">
            <w:pPr>
              <w:rPr>
                <w:rFonts w:eastAsia="Calibri"/>
              </w:rPr>
            </w:pPr>
            <w:r w:rsidRPr="00E54F88">
              <w:rPr>
                <w:rFonts w:eastAsia="Calibri"/>
              </w:rPr>
              <w:t xml:space="preserve">To provide clarity and reflect the purpose of ward member budgets which is to provide a community benefit </w:t>
            </w:r>
            <w:r w:rsidR="007D34EC">
              <w:rPr>
                <w:rFonts w:eastAsia="Calibri"/>
              </w:rPr>
              <w:t xml:space="preserve">and </w:t>
            </w:r>
            <w:r w:rsidRPr="00E54F88">
              <w:rPr>
                <w:rFonts w:eastAsia="Calibri"/>
              </w:rPr>
              <w:t>not to support individuals who may be struggling financially.</w:t>
            </w:r>
          </w:p>
        </w:tc>
      </w:tr>
      <w:tr w:rsidR="003F0CC9" w14:paraId="06781CF5" w14:textId="77777777" w:rsidTr="00830204">
        <w:tc>
          <w:tcPr>
            <w:tcW w:w="1701" w:type="dxa"/>
          </w:tcPr>
          <w:p w14:paraId="29DE962E" w14:textId="77777777" w:rsidR="003F0CC9" w:rsidRDefault="00A32882" w:rsidP="002F3FCE">
            <w:pPr>
              <w:rPr>
                <w:rFonts w:eastAsia="Calibri"/>
              </w:rPr>
            </w:pPr>
            <w:r>
              <w:rPr>
                <w:rFonts w:eastAsia="Calibri"/>
              </w:rPr>
              <w:t>Responsibility for Council functions</w:t>
            </w:r>
          </w:p>
          <w:p w14:paraId="5B3422D9" w14:textId="77777777" w:rsidR="00A32882" w:rsidRPr="007B7454" w:rsidRDefault="00A32882" w:rsidP="002F3FCE">
            <w:pPr>
              <w:rPr>
                <w:rFonts w:eastAsia="Calibri"/>
              </w:rPr>
            </w:pPr>
            <w:r>
              <w:rPr>
                <w:rFonts w:eastAsia="Calibri"/>
              </w:rPr>
              <w:t>Part 5.3</w:t>
            </w:r>
          </w:p>
        </w:tc>
        <w:tc>
          <w:tcPr>
            <w:tcW w:w="3686" w:type="dxa"/>
          </w:tcPr>
          <w:p w14:paraId="32EBBEB0" w14:textId="0310610B" w:rsidR="007964BC" w:rsidRDefault="007964BC" w:rsidP="007964BC">
            <w:pPr>
              <w:spacing w:after="0"/>
              <w:contextualSpacing/>
              <w:rPr>
                <w:rFonts w:eastAsia="Calibri"/>
              </w:rPr>
            </w:pPr>
            <w:r w:rsidRPr="007964BC">
              <w:rPr>
                <w:rFonts w:eastAsia="Calibri"/>
              </w:rPr>
              <w:t>This change would come into effect from May 2021.</w:t>
            </w:r>
          </w:p>
          <w:p w14:paraId="5CCE260E" w14:textId="481EF6C1" w:rsidR="003F0CC9" w:rsidRPr="007964BC" w:rsidRDefault="00A32882" w:rsidP="007964BC">
            <w:pPr>
              <w:pStyle w:val="ListParagraph"/>
              <w:numPr>
                <w:ilvl w:val="0"/>
                <w:numId w:val="40"/>
              </w:numPr>
              <w:spacing w:after="0"/>
              <w:contextualSpacing/>
              <w:rPr>
                <w:rFonts w:eastAsia="Calibri"/>
              </w:rPr>
            </w:pPr>
            <w:r w:rsidRPr="007964BC">
              <w:rPr>
                <w:rFonts w:eastAsia="Calibri"/>
              </w:rPr>
              <w:t>A change to the planning committee structure to merge the two area planning committees and to increase delegation levels</w:t>
            </w:r>
            <w:r w:rsidR="00E43467" w:rsidRPr="007964BC">
              <w:rPr>
                <w:rFonts w:eastAsia="Calibri"/>
              </w:rPr>
              <w:t>.</w:t>
            </w:r>
            <w:r w:rsidR="002C39AC" w:rsidRPr="007964BC">
              <w:rPr>
                <w:rFonts w:eastAsia="Calibri"/>
              </w:rPr>
              <w:t xml:space="preserve"> </w:t>
            </w:r>
            <w:r w:rsidR="00E43467" w:rsidRPr="007964BC">
              <w:rPr>
                <w:rFonts w:eastAsia="Calibri"/>
              </w:rPr>
              <w:t>There is to be an increase in the size of the Planning Committee to 11 members (Part 14.3).</w:t>
            </w:r>
            <w:r w:rsidR="002C39AC" w:rsidRPr="007964BC">
              <w:rPr>
                <w:rFonts w:eastAsia="Calibri"/>
              </w:rPr>
              <w:t xml:space="preserve">There will be consequential amendments to the </w:t>
            </w:r>
            <w:r w:rsidR="00E43467" w:rsidRPr="007964BC">
              <w:rPr>
                <w:rFonts w:eastAsia="Calibri"/>
              </w:rPr>
              <w:t>p</w:t>
            </w:r>
            <w:r w:rsidR="002C39AC" w:rsidRPr="007964BC">
              <w:rPr>
                <w:rFonts w:eastAsia="Calibri"/>
              </w:rPr>
              <w:t>lanning committee procedures (Part 14.11)</w:t>
            </w:r>
            <w:r w:rsidR="00E43467" w:rsidRPr="007964BC">
              <w:rPr>
                <w:rFonts w:eastAsia="Calibri"/>
              </w:rPr>
              <w:t>.</w:t>
            </w:r>
          </w:p>
          <w:p w14:paraId="77B45414" w14:textId="7603F11B" w:rsidR="00E43467" w:rsidRDefault="00E43467" w:rsidP="00E43467">
            <w:pPr>
              <w:pStyle w:val="ListParagraph"/>
              <w:numPr>
                <w:ilvl w:val="0"/>
                <w:numId w:val="39"/>
              </w:numPr>
              <w:tabs>
                <w:tab w:val="clear" w:pos="426"/>
              </w:tabs>
              <w:spacing w:after="0"/>
              <w:contextualSpacing/>
              <w:rPr>
                <w:rFonts w:eastAsia="Calibri"/>
              </w:rPr>
            </w:pPr>
            <w:r w:rsidRPr="00E43467">
              <w:rPr>
                <w:rFonts w:eastAsia="Calibri"/>
              </w:rPr>
              <w:t xml:space="preserve">To provide a manageable workload for a single area planning committee it is proposed that non-major </w:t>
            </w:r>
            <w:r>
              <w:rPr>
                <w:rFonts w:eastAsia="Calibri"/>
              </w:rPr>
              <w:t xml:space="preserve">applications will be delegated </w:t>
            </w:r>
            <w:r w:rsidRPr="00E43467">
              <w:rPr>
                <w:rFonts w:eastAsia="Calibri"/>
              </w:rPr>
              <w:t>to the Head of Planning Services.</w:t>
            </w:r>
            <w:r w:rsidR="007D34EC">
              <w:rPr>
                <w:rFonts w:eastAsia="Calibri"/>
              </w:rPr>
              <w:t xml:space="preserve"> However, all applications will be subject to the current call in arrangements if members wish to see full Committee scrutiny and decision making</w:t>
            </w:r>
            <w:r w:rsidR="001F5EC7">
              <w:rPr>
                <w:rFonts w:eastAsia="Calibri"/>
              </w:rPr>
              <w:t>, provided that call in is supported by planning considerations.</w:t>
            </w:r>
          </w:p>
          <w:p w14:paraId="7A29CB40" w14:textId="300AF606" w:rsidR="006D7803" w:rsidRPr="006D7803" w:rsidRDefault="006D7803" w:rsidP="006D7803">
            <w:pPr>
              <w:spacing w:after="0"/>
              <w:contextualSpacing/>
              <w:rPr>
                <w:rFonts w:eastAsia="Calibri"/>
              </w:rPr>
            </w:pPr>
          </w:p>
        </w:tc>
        <w:tc>
          <w:tcPr>
            <w:tcW w:w="4252" w:type="dxa"/>
          </w:tcPr>
          <w:p w14:paraId="30675016" w14:textId="0786607F" w:rsidR="003F0CC9" w:rsidRDefault="0072330C" w:rsidP="002F3FCE">
            <w:pPr>
              <w:rPr>
                <w:rFonts w:eastAsia="Calibri"/>
              </w:rPr>
            </w:pPr>
            <w:r>
              <w:rPr>
                <w:rFonts w:eastAsia="Calibri"/>
              </w:rPr>
              <w:t>To achieve</w:t>
            </w:r>
            <w:r w:rsidR="002C12DD" w:rsidRPr="002C12DD">
              <w:rPr>
                <w:rFonts w:eastAsia="Calibri"/>
              </w:rPr>
              <w:t xml:space="preserve"> the associated budget saving</w:t>
            </w:r>
            <w:r w:rsidR="007964BC">
              <w:rPr>
                <w:rFonts w:eastAsia="Calibri"/>
              </w:rPr>
              <w:t xml:space="preserve"> from May 2021</w:t>
            </w:r>
            <w:r w:rsidR="002C12DD" w:rsidRPr="002C12DD">
              <w:rPr>
                <w:rFonts w:eastAsia="Calibri"/>
              </w:rPr>
              <w:t>.</w:t>
            </w:r>
            <w:r w:rsidR="002C12DD">
              <w:rPr>
                <w:rFonts w:eastAsia="Calibri"/>
              </w:rPr>
              <w:t xml:space="preserve"> </w:t>
            </w:r>
            <w:r w:rsidR="006A6DDE">
              <w:rPr>
                <w:rFonts w:eastAsia="Calibri"/>
              </w:rPr>
              <w:t>The increase in the size of the planning committee stems from considerations</w:t>
            </w:r>
            <w:r w:rsidR="006A6DDE" w:rsidRPr="006A6DDE">
              <w:rPr>
                <w:rFonts w:eastAsia="Calibri"/>
              </w:rPr>
              <w:t xml:space="preserve"> about member involvement in decision making and ensuring more scope for geographical representation on the committee.</w:t>
            </w:r>
          </w:p>
        </w:tc>
      </w:tr>
      <w:tr w:rsidR="008A5141" w14:paraId="1D412394" w14:textId="77777777" w:rsidTr="00830204">
        <w:tc>
          <w:tcPr>
            <w:tcW w:w="1701" w:type="dxa"/>
          </w:tcPr>
          <w:p w14:paraId="4B91424C" w14:textId="77777777" w:rsidR="008A5141" w:rsidRDefault="008A5141" w:rsidP="002F3FCE">
            <w:pPr>
              <w:rPr>
                <w:rFonts w:eastAsia="Calibri"/>
              </w:rPr>
            </w:pPr>
            <w:r w:rsidRPr="008A5141">
              <w:rPr>
                <w:rFonts w:eastAsia="Calibri"/>
              </w:rPr>
              <w:t>Roles of Decision taking Committees</w:t>
            </w:r>
          </w:p>
          <w:p w14:paraId="628E63CB" w14:textId="0C43E204" w:rsidR="008A5141" w:rsidRDefault="008A5141" w:rsidP="002F3FCE">
            <w:pPr>
              <w:rPr>
                <w:rFonts w:eastAsia="Calibri"/>
              </w:rPr>
            </w:pPr>
            <w:r>
              <w:rPr>
                <w:rFonts w:eastAsia="Calibri"/>
              </w:rPr>
              <w:t>Part 7.8</w:t>
            </w:r>
          </w:p>
        </w:tc>
        <w:tc>
          <w:tcPr>
            <w:tcW w:w="3686" w:type="dxa"/>
          </w:tcPr>
          <w:p w14:paraId="66357CA6" w14:textId="0186F100" w:rsidR="008A5141" w:rsidRPr="00394BF5" w:rsidRDefault="00394BF5" w:rsidP="00394BF5">
            <w:pPr>
              <w:pStyle w:val="ListParagraph"/>
              <w:numPr>
                <w:ilvl w:val="0"/>
                <w:numId w:val="39"/>
              </w:numPr>
              <w:spacing w:after="0"/>
              <w:contextualSpacing/>
              <w:rPr>
                <w:rFonts w:eastAsia="Calibri"/>
              </w:rPr>
            </w:pPr>
            <w:r w:rsidRPr="00394BF5">
              <w:rPr>
                <w:rFonts w:eastAsia="Calibri"/>
              </w:rPr>
              <w:t>To a</w:t>
            </w:r>
            <w:r w:rsidR="008A5141" w:rsidRPr="00394BF5">
              <w:rPr>
                <w:rFonts w:eastAsia="Calibri"/>
              </w:rPr>
              <w:t>mend the role of the Appointments Committee to include the receipt of reports from the Chief Executive on the number of officers that they have authorised to carry out work for another local authority under a deleg</w:t>
            </w:r>
            <w:r w:rsidR="000756CC">
              <w:rPr>
                <w:rFonts w:eastAsia="Calibri"/>
              </w:rPr>
              <w:t>ation from that local authority.</w:t>
            </w:r>
          </w:p>
          <w:p w14:paraId="0B974C66" w14:textId="3D2AB73E" w:rsidR="008A5141" w:rsidRPr="007964BC" w:rsidRDefault="008A5141" w:rsidP="00394BF5">
            <w:pPr>
              <w:spacing w:after="0"/>
              <w:contextualSpacing/>
              <w:rPr>
                <w:rFonts w:eastAsia="Calibri"/>
              </w:rPr>
            </w:pPr>
          </w:p>
        </w:tc>
        <w:tc>
          <w:tcPr>
            <w:tcW w:w="4252" w:type="dxa"/>
          </w:tcPr>
          <w:p w14:paraId="465A9CE0" w14:textId="30D83649" w:rsidR="008A5141" w:rsidRDefault="00394BF5" w:rsidP="002F3FCE">
            <w:pPr>
              <w:rPr>
                <w:rFonts w:eastAsia="Calibri"/>
              </w:rPr>
            </w:pPr>
            <w:r w:rsidRPr="00394BF5">
              <w:rPr>
                <w:rFonts w:eastAsia="Calibri"/>
              </w:rPr>
              <w:t>To allow for greater transparency and accountability around the staffing issues that arise if the Council accepts such a delegation</w:t>
            </w:r>
            <w:r w:rsidR="000756CC">
              <w:rPr>
                <w:rFonts w:eastAsia="Calibri"/>
              </w:rPr>
              <w:t>.</w:t>
            </w:r>
          </w:p>
        </w:tc>
      </w:tr>
      <w:tr w:rsidR="0080150C" w14:paraId="06BF46F2" w14:textId="77777777" w:rsidTr="00830204">
        <w:tc>
          <w:tcPr>
            <w:tcW w:w="1701" w:type="dxa"/>
          </w:tcPr>
          <w:p w14:paraId="59BC9529" w14:textId="77777777" w:rsidR="0080150C" w:rsidRPr="008A5141" w:rsidRDefault="0080150C" w:rsidP="002F3FCE">
            <w:pPr>
              <w:rPr>
                <w:rFonts w:eastAsia="Calibri"/>
              </w:rPr>
            </w:pPr>
          </w:p>
        </w:tc>
        <w:tc>
          <w:tcPr>
            <w:tcW w:w="3686" w:type="dxa"/>
          </w:tcPr>
          <w:p w14:paraId="62E33B80" w14:textId="527279B6" w:rsidR="0080150C" w:rsidRDefault="0080150C" w:rsidP="0080150C">
            <w:pPr>
              <w:pStyle w:val="ListParagraph"/>
              <w:numPr>
                <w:ilvl w:val="0"/>
                <w:numId w:val="39"/>
              </w:numPr>
              <w:spacing w:after="0"/>
              <w:contextualSpacing/>
              <w:rPr>
                <w:rFonts w:eastAsia="Calibri"/>
              </w:rPr>
            </w:pPr>
            <w:r w:rsidRPr="0080150C">
              <w:rPr>
                <w:rFonts w:eastAsia="Calibri"/>
              </w:rPr>
              <w:t>Amend the role of the Appointments Committee to include consideration of appeals/objections to a post being added to the list of politically sensitive posts in the Council’s list of Politically Restricted Posts. Keeping a list of politically restricted posts is legal requirement and a proper officer function</w:t>
            </w:r>
            <w:r w:rsidR="007D34EC">
              <w:rPr>
                <w:rFonts w:eastAsia="Calibri"/>
              </w:rPr>
              <w:t>,</w:t>
            </w:r>
            <w:r w:rsidRPr="0080150C">
              <w:rPr>
                <w:rFonts w:eastAsia="Calibri"/>
              </w:rPr>
              <w:t xml:space="preserve"> which is allocated to the Chief Executive in the Constitution. The legislation specifies that certain posts are politically sensitive. Senior officer posts are all on the list of politically restricted posts. Other officer posts further down the structure, with less strategic roles, may also be on the list depending on the nature of those roles if they are considered to be “sensitive” and there is a procedure for post-holders to appeal against this categorisation to the Appointments Committee.</w:t>
            </w:r>
          </w:p>
          <w:p w14:paraId="32B329B3" w14:textId="2BF11209" w:rsidR="006D7803" w:rsidRPr="006D7803" w:rsidRDefault="006D7803" w:rsidP="006D7803">
            <w:pPr>
              <w:spacing w:after="0"/>
              <w:contextualSpacing/>
              <w:rPr>
                <w:rFonts w:eastAsia="Calibri"/>
              </w:rPr>
            </w:pPr>
          </w:p>
        </w:tc>
        <w:tc>
          <w:tcPr>
            <w:tcW w:w="4252" w:type="dxa"/>
          </w:tcPr>
          <w:p w14:paraId="1E538FC5" w14:textId="0F3DB4D3" w:rsidR="0080150C" w:rsidRPr="00394BF5" w:rsidRDefault="0080150C" w:rsidP="0080150C">
            <w:pPr>
              <w:rPr>
                <w:rFonts w:eastAsia="Calibri"/>
              </w:rPr>
            </w:pPr>
            <w:r w:rsidRPr="0080150C">
              <w:rPr>
                <w:rFonts w:eastAsia="Calibri"/>
              </w:rPr>
              <w:t>To reflect the procedure adopted for the categorisation of posts as politically restricted by the Head of the Paid Service.</w:t>
            </w:r>
          </w:p>
        </w:tc>
      </w:tr>
      <w:tr w:rsidR="003F0CC9" w14:paraId="69557255" w14:textId="77777777" w:rsidTr="00830204">
        <w:tc>
          <w:tcPr>
            <w:tcW w:w="1701" w:type="dxa"/>
          </w:tcPr>
          <w:p w14:paraId="48FBA8FD" w14:textId="77777777" w:rsidR="003F0CC9" w:rsidRDefault="00A32882" w:rsidP="002F3FCE">
            <w:pPr>
              <w:rPr>
                <w:rFonts w:eastAsia="Calibri"/>
              </w:rPr>
            </w:pPr>
            <w:r>
              <w:rPr>
                <w:rFonts w:eastAsia="Calibri"/>
              </w:rPr>
              <w:t>Roles of Decision taking Committees</w:t>
            </w:r>
          </w:p>
          <w:p w14:paraId="798EBE69" w14:textId="77777777" w:rsidR="00A32882" w:rsidRPr="007B7454" w:rsidRDefault="00A32882" w:rsidP="002F3FCE">
            <w:pPr>
              <w:rPr>
                <w:rFonts w:eastAsia="Calibri"/>
              </w:rPr>
            </w:pPr>
            <w:r>
              <w:rPr>
                <w:rFonts w:eastAsia="Calibri"/>
              </w:rPr>
              <w:t>Part 7.9</w:t>
            </w:r>
          </w:p>
        </w:tc>
        <w:tc>
          <w:tcPr>
            <w:tcW w:w="3686" w:type="dxa"/>
          </w:tcPr>
          <w:p w14:paraId="742BAD70" w14:textId="10ED3A81" w:rsidR="003F0CC9" w:rsidRPr="0072330C" w:rsidRDefault="001A29ED" w:rsidP="0072330C">
            <w:pPr>
              <w:pStyle w:val="ListParagraph"/>
              <w:numPr>
                <w:ilvl w:val="0"/>
                <w:numId w:val="39"/>
              </w:numPr>
              <w:spacing w:after="0"/>
              <w:contextualSpacing/>
              <w:rPr>
                <w:rFonts w:eastAsia="Calibri"/>
              </w:rPr>
            </w:pPr>
            <w:r w:rsidRPr="0072330C">
              <w:rPr>
                <w:rFonts w:eastAsia="Calibri"/>
              </w:rPr>
              <w:t xml:space="preserve">To </w:t>
            </w:r>
            <w:r w:rsidR="00764DDD" w:rsidRPr="0072330C">
              <w:rPr>
                <w:rFonts w:eastAsia="Calibri"/>
              </w:rPr>
              <w:t>i</w:t>
            </w:r>
            <w:r w:rsidRPr="0072330C">
              <w:rPr>
                <w:rFonts w:eastAsia="Calibri"/>
              </w:rPr>
              <w:t xml:space="preserve">nclude </w:t>
            </w:r>
            <w:r w:rsidR="00764DDD" w:rsidRPr="0072330C">
              <w:rPr>
                <w:rFonts w:eastAsia="Calibri"/>
              </w:rPr>
              <w:t xml:space="preserve">in the Constitution </w:t>
            </w:r>
            <w:r w:rsidR="00A32882" w:rsidRPr="0072330C">
              <w:rPr>
                <w:rFonts w:eastAsia="Calibri"/>
              </w:rPr>
              <w:t>the process for considering individual dispensations which Council has previously delegated to the Monitoring Officer at a meeting on 1 October 2018.</w:t>
            </w:r>
            <w:r w:rsidR="0072330C">
              <w:t xml:space="preserve"> </w:t>
            </w:r>
            <w:r w:rsidR="0072330C" w:rsidRPr="0072330C">
              <w:rPr>
                <w:rFonts w:eastAsia="Calibri"/>
              </w:rPr>
              <w:t>Dispensations allow Members to take part in a meeting or decision from which they would otherwise be precluded due to having a disclosable pecuniary interest.</w:t>
            </w:r>
            <w:r w:rsidR="00A32882" w:rsidRPr="0072330C">
              <w:rPr>
                <w:rFonts w:eastAsia="Calibri"/>
              </w:rPr>
              <w:t xml:space="preserve"> </w:t>
            </w:r>
          </w:p>
        </w:tc>
        <w:tc>
          <w:tcPr>
            <w:tcW w:w="4252" w:type="dxa"/>
          </w:tcPr>
          <w:p w14:paraId="4AA9A616" w14:textId="77777777" w:rsidR="003F0CC9" w:rsidRDefault="00A32882" w:rsidP="002F3FCE">
            <w:pPr>
              <w:rPr>
                <w:rFonts w:eastAsia="Calibri"/>
              </w:rPr>
            </w:pPr>
            <w:r w:rsidRPr="00A32882">
              <w:rPr>
                <w:rFonts w:eastAsia="Calibri"/>
              </w:rPr>
              <w:t>To clarify the delegation agreed by Council on 1 October 2018. The Monitoring Officer has delegated authority to grant an individual dispensation to a Member following consultation with an Independent Person. The Standards Committee receives reports from the Monitoring officer on the granting of individual dispensations and has noted that it is not always practicable for the Monitoring Officer to consult with an Independent Person prior to granting an individual dispensation e.g. if a dispensation is sought during or immediately prior to a meeting taking place.</w:t>
            </w:r>
          </w:p>
        </w:tc>
      </w:tr>
      <w:tr w:rsidR="003F0CC9" w14:paraId="4A516311" w14:textId="77777777" w:rsidTr="00830204">
        <w:tc>
          <w:tcPr>
            <w:tcW w:w="1701" w:type="dxa"/>
          </w:tcPr>
          <w:p w14:paraId="0E1006A4" w14:textId="77777777" w:rsidR="00D47242" w:rsidRPr="00D47242" w:rsidRDefault="00D47242" w:rsidP="00D47242">
            <w:pPr>
              <w:rPr>
                <w:rFonts w:eastAsia="Calibri"/>
              </w:rPr>
            </w:pPr>
            <w:r w:rsidRPr="00D47242">
              <w:rPr>
                <w:rFonts w:eastAsia="Calibri"/>
              </w:rPr>
              <w:t>Role of scrutiny Committee</w:t>
            </w:r>
          </w:p>
          <w:p w14:paraId="17DB7A4D" w14:textId="77777777" w:rsidR="003F0CC9" w:rsidRDefault="00D47242" w:rsidP="00D47242">
            <w:pPr>
              <w:rPr>
                <w:rFonts w:eastAsia="Calibri"/>
              </w:rPr>
            </w:pPr>
            <w:r w:rsidRPr="00D47242">
              <w:rPr>
                <w:rFonts w:eastAsia="Calibri"/>
              </w:rPr>
              <w:t>Part 8.2</w:t>
            </w:r>
          </w:p>
        </w:tc>
        <w:tc>
          <w:tcPr>
            <w:tcW w:w="3686" w:type="dxa"/>
          </w:tcPr>
          <w:p w14:paraId="59EFA2B4" w14:textId="77777777" w:rsidR="003F0CC9" w:rsidRDefault="00D47242" w:rsidP="00D47242">
            <w:pPr>
              <w:pStyle w:val="ListParagraph"/>
              <w:numPr>
                <w:ilvl w:val="0"/>
                <w:numId w:val="41"/>
              </w:numPr>
              <w:tabs>
                <w:tab w:val="clear" w:pos="426"/>
              </w:tabs>
              <w:spacing w:after="0"/>
              <w:contextualSpacing/>
              <w:rPr>
                <w:rFonts w:eastAsia="Calibri"/>
              </w:rPr>
            </w:pPr>
            <w:r w:rsidRPr="00D47242">
              <w:rPr>
                <w:rFonts w:eastAsia="Calibri"/>
              </w:rPr>
              <w:t>To include in the Constitution the Scrutiny Committee’s long standing “operating principle” that chairs of standing panels and review groups must be a member of the Scrutiny Committee.</w:t>
            </w:r>
          </w:p>
        </w:tc>
        <w:tc>
          <w:tcPr>
            <w:tcW w:w="4252" w:type="dxa"/>
          </w:tcPr>
          <w:p w14:paraId="5941BF36" w14:textId="77777777" w:rsidR="003F0CC9" w:rsidRDefault="00D47242" w:rsidP="009B3081">
            <w:pPr>
              <w:rPr>
                <w:rFonts w:eastAsia="Calibri"/>
              </w:rPr>
            </w:pPr>
            <w:r w:rsidRPr="00D47242">
              <w:rPr>
                <w:rFonts w:eastAsia="Calibri"/>
              </w:rPr>
              <w:t>This proposal will formalise the rule that chairs of standing panels and review groups must be members of the Scrutiny Committee, providing additional clarity to members and groups. The rule is to ensure that only members of the Scrutiny Committee are responsible and accountable for the leadership of the scrutiny function. Other non-executive members can sit on these bodies but cannot chair them.</w:t>
            </w:r>
          </w:p>
        </w:tc>
      </w:tr>
      <w:tr w:rsidR="003F0CC9" w14:paraId="2718083B" w14:textId="77777777" w:rsidTr="00830204">
        <w:tc>
          <w:tcPr>
            <w:tcW w:w="1701" w:type="dxa"/>
          </w:tcPr>
          <w:p w14:paraId="2F5264F5" w14:textId="77777777" w:rsidR="00D47242" w:rsidRDefault="002C39AC" w:rsidP="002F3FCE">
            <w:pPr>
              <w:rPr>
                <w:rFonts w:eastAsia="Calibri"/>
              </w:rPr>
            </w:pPr>
            <w:r>
              <w:rPr>
                <w:rFonts w:eastAsia="Calibri"/>
              </w:rPr>
              <w:t xml:space="preserve">Council procedures </w:t>
            </w:r>
          </w:p>
          <w:p w14:paraId="06F7E66C" w14:textId="77777777" w:rsidR="002C39AC" w:rsidRDefault="002C39AC" w:rsidP="002F3FCE">
            <w:pPr>
              <w:rPr>
                <w:rFonts w:eastAsia="Calibri"/>
              </w:rPr>
            </w:pPr>
            <w:r>
              <w:rPr>
                <w:rFonts w:eastAsia="Calibri"/>
              </w:rPr>
              <w:t>Part 11.4(e)</w:t>
            </w:r>
          </w:p>
        </w:tc>
        <w:tc>
          <w:tcPr>
            <w:tcW w:w="3686" w:type="dxa"/>
          </w:tcPr>
          <w:p w14:paraId="6F4F616C" w14:textId="77777777" w:rsidR="003F0CC9" w:rsidRPr="00605477" w:rsidRDefault="002C39AC" w:rsidP="002C39AC">
            <w:pPr>
              <w:pStyle w:val="ListParagraph"/>
              <w:numPr>
                <w:ilvl w:val="0"/>
                <w:numId w:val="41"/>
              </w:numPr>
              <w:tabs>
                <w:tab w:val="clear" w:pos="426"/>
              </w:tabs>
              <w:spacing w:after="0"/>
              <w:contextualSpacing/>
              <w:rPr>
                <w:rFonts w:eastAsia="Calibri"/>
              </w:rPr>
            </w:pPr>
            <w:r w:rsidRPr="002C39AC">
              <w:rPr>
                <w:rFonts w:eastAsia="Calibri"/>
              </w:rPr>
              <w:t>To remove the need for Budget Council to agree a procedure that is set out in the Constitution.</w:t>
            </w:r>
          </w:p>
        </w:tc>
        <w:tc>
          <w:tcPr>
            <w:tcW w:w="4252" w:type="dxa"/>
          </w:tcPr>
          <w:p w14:paraId="5359622C" w14:textId="10459352" w:rsidR="003F0CC9" w:rsidRDefault="002C39AC" w:rsidP="002F3FCE">
            <w:pPr>
              <w:rPr>
                <w:rFonts w:eastAsia="Calibri"/>
              </w:rPr>
            </w:pPr>
            <w:r w:rsidRPr="002C39AC">
              <w:rPr>
                <w:rFonts w:eastAsia="Calibri"/>
              </w:rPr>
              <w:t xml:space="preserve">To clarify that Budget Council will consider any amendments to the budget debate procedure but not the </w:t>
            </w:r>
            <w:r w:rsidR="001F5EC7">
              <w:rPr>
                <w:rFonts w:eastAsia="Calibri"/>
              </w:rPr>
              <w:t xml:space="preserve">core </w:t>
            </w:r>
            <w:r w:rsidRPr="002C39AC">
              <w:rPr>
                <w:rFonts w:eastAsia="Calibri"/>
              </w:rPr>
              <w:t>procedure itself which has previously been agreed by Council in the Constitution.</w:t>
            </w:r>
          </w:p>
        </w:tc>
      </w:tr>
      <w:tr w:rsidR="00BF4DE5" w14:paraId="408B4FD6" w14:textId="77777777" w:rsidTr="00830204">
        <w:tc>
          <w:tcPr>
            <w:tcW w:w="1701" w:type="dxa"/>
          </w:tcPr>
          <w:p w14:paraId="60007588" w14:textId="77777777" w:rsidR="00BF4DE5" w:rsidRDefault="001D1761" w:rsidP="002F3FCE">
            <w:pPr>
              <w:rPr>
                <w:rFonts w:eastAsia="Calibri"/>
              </w:rPr>
            </w:pPr>
            <w:r>
              <w:rPr>
                <w:rFonts w:eastAsia="Calibri"/>
              </w:rPr>
              <w:t>Motions on Notice</w:t>
            </w:r>
          </w:p>
          <w:p w14:paraId="0CA9C1CB" w14:textId="77777777" w:rsidR="001D1761" w:rsidRDefault="001D1761" w:rsidP="002F3FCE">
            <w:pPr>
              <w:rPr>
                <w:rFonts w:eastAsia="Calibri"/>
              </w:rPr>
            </w:pPr>
            <w:r>
              <w:rPr>
                <w:rFonts w:eastAsia="Calibri"/>
              </w:rPr>
              <w:t>Part 11.18(a)</w:t>
            </w:r>
          </w:p>
        </w:tc>
        <w:tc>
          <w:tcPr>
            <w:tcW w:w="3686" w:type="dxa"/>
          </w:tcPr>
          <w:p w14:paraId="19C0F11D" w14:textId="77777777" w:rsidR="006D7803" w:rsidRDefault="001D1761" w:rsidP="00014ABE">
            <w:pPr>
              <w:pStyle w:val="ListParagraph"/>
              <w:numPr>
                <w:ilvl w:val="0"/>
                <w:numId w:val="41"/>
              </w:numPr>
              <w:tabs>
                <w:tab w:val="clear" w:pos="426"/>
              </w:tabs>
              <w:spacing w:after="0"/>
              <w:contextualSpacing/>
              <w:rPr>
                <w:rFonts w:eastAsia="Calibri"/>
              </w:rPr>
            </w:pPr>
            <w:r w:rsidRPr="001D1761">
              <w:rPr>
                <w:rFonts w:eastAsia="Calibri"/>
              </w:rPr>
              <w:t>To make provision for emergency cross-party motions to be submitted to Council after the normal deadline of 1.00pm seven clear working days before the meeting.</w:t>
            </w:r>
            <w:r w:rsidR="00F656C9">
              <w:t xml:space="preserve"> </w:t>
            </w:r>
            <w:r w:rsidR="00014ABE">
              <w:rPr>
                <w:rFonts w:eastAsia="Calibri"/>
              </w:rPr>
              <w:t>The proposal is for u</w:t>
            </w:r>
            <w:r w:rsidR="00F656C9" w:rsidRPr="00F656C9">
              <w:rPr>
                <w:rFonts w:eastAsia="Calibri"/>
              </w:rPr>
              <w:t xml:space="preserve">rgent cross-party motions supported in writing by all the Leaders of political groups on the Council </w:t>
            </w:r>
            <w:r w:rsidR="00014ABE">
              <w:rPr>
                <w:rFonts w:eastAsia="Calibri"/>
              </w:rPr>
              <w:t>to</w:t>
            </w:r>
            <w:r w:rsidR="00F656C9" w:rsidRPr="00F656C9">
              <w:rPr>
                <w:rFonts w:eastAsia="Calibri"/>
              </w:rPr>
              <w:t xml:space="preserve"> be submitted by 1.00 pm three working days before the Council meeting so that they may be circulated with the briefing note. </w:t>
            </w:r>
          </w:p>
          <w:p w14:paraId="677C44FD" w14:textId="19EEB496" w:rsidR="00CA5357" w:rsidRPr="006D7803" w:rsidRDefault="001D1761" w:rsidP="006D7803">
            <w:pPr>
              <w:spacing w:after="0"/>
              <w:contextualSpacing/>
              <w:rPr>
                <w:rFonts w:eastAsia="Calibri"/>
              </w:rPr>
            </w:pPr>
            <w:r w:rsidRPr="006D7803">
              <w:rPr>
                <w:rFonts w:eastAsia="Calibri"/>
              </w:rPr>
              <w:t xml:space="preserve"> </w:t>
            </w:r>
          </w:p>
        </w:tc>
        <w:tc>
          <w:tcPr>
            <w:tcW w:w="4252" w:type="dxa"/>
          </w:tcPr>
          <w:p w14:paraId="256F7940" w14:textId="77777777" w:rsidR="00BF4DE5" w:rsidRDefault="001D1761" w:rsidP="00CA5357">
            <w:pPr>
              <w:spacing w:after="0"/>
              <w:rPr>
                <w:rFonts w:eastAsia="Calibri"/>
              </w:rPr>
            </w:pPr>
            <w:r w:rsidRPr="001D1761">
              <w:rPr>
                <w:rFonts w:eastAsia="Calibri" w:cs="Arial"/>
              </w:rPr>
              <w:t>To provide flexibility for Council to consider motions at late notice where these are considered urgent and are supported by all the Leaders of political groups on the Council.</w:t>
            </w:r>
          </w:p>
        </w:tc>
      </w:tr>
      <w:tr w:rsidR="00431DD5" w14:paraId="5295E38C" w14:textId="77777777" w:rsidTr="00830204">
        <w:tc>
          <w:tcPr>
            <w:tcW w:w="1701" w:type="dxa"/>
          </w:tcPr>
          <w:p w14:paraId="5D34F566" w14:textId="53B73846" w:rsidR="00431DD5" w:rsidRDefault="00431DD5" w:rsidP="002F3FCE">
            <w:pPr>
              <w:rPr>
                <w:rFonts w:eastAsia="Calibri"/>
              </w:rPr>
            </w:pPr>
            <w:r>
              <w:rPr>
                <w:rFonts w:eastAsia="Calibri"/>
              </w:rPr>
              <w:t>Motions on Notice</w:t>
            </w:r>
          </w:p>
          <w:p w14:paraId="72B7E7A8" w14:textId="5B476685" w:rsidR="00431DD5" w:rsidRDefault="00431DD5" w:rsidP="002F3FCE">
            <w:pPr>
              <w:rPr>
                <w:rFonts w:eastAsia="Calibri"/>
              </w:rPr>
            </w:pPr>
            <w:r>
              <w:rPr>
                <w:rFonts w:eastAsia="Calibri"/>
              </w:rPr>
              <w:t>Part 11.18(f)</w:t>
            </w:r>
          </w:p>
        </w:tc>
        <w:tc>
          <w:tcPr>
            <w:tcW w:w="3686" w:type="dxa"/>
          </w:tcPr>
          <w:p w14:paraId="143F013C" w14:textId="200EFD0F" w:rsidR="00431DD5" w:rsidRPr="001D1761" w:rsidRDefault="00431DD5" w:rsidP="00431DD5">
            <w:pPr>
              <w:pStyle w:val="ListParagraph"/>
              <w:numPr>
                <w:ilvl w:val="0"/>
                <w:numId w:val="41"/>
              </w:numPr>
              <w:tabs>
                <w:tab w:val="clear" w:pos="426"/>
              </w:tabs>
              <w:spacing w:after="0"/>
              <w:contextualSpacing/>
              <w:rPr>
                <w:rFonts w:eastAsia="Calibri"/>
              </w:rPr>
            </w:pPr>
            <w:r w:rsidRPr="00431DD5">
              <w:rPr>
                <w:rFonts w:eastAsia="Calibri"/>
              </w:rPr>
              <w:t>To include a rule that any amendments to cross-party motions must be supported in writing by all the leaders of the political groups on the Council.</w:t>
            </w:r>
          </w:p>
        </w:tc>
        <w:tc>
          <w:tcPr>
            <w:tcW w:w="4252" w:type="dxa"/>
          </w:tcPr>
          <w:p w14:paraId="123BC353" w14:textId="77777777" w:rsidR="00431DD5" w:rsidRDefault="00431DD5" w:rsidP="00CA5357">
            <w:pPr>
              <w:spacing w:after="0"/>
              <w:rPr>
                <w:rFonts w:eastAsia="Calibri" w:cs="Arial"/>
              </w:rPr>
            </w:pPr>
            <w:r w:rsidRPr="00431DD5">
              <w:rPr>
                <w:rFonts w:eastAsia="Calibri" w:cs="Arial"/>
              </w:rPr>
              <w:t>To ensure that Council will only consider amendments to cross-party motions that have cross-party support. Cross-party support is the basis for these motions being listed first on the agenda and taken first at meetings, ahead of motions submitted by groups.</w:t>
            </w:r>
          </w:p>
          <w:p w14:paraId="501F0F2C" w14:textId="4462DA81" w:rsidR="006D7803" w:rsidRPr="001D1761" w:rsidRDefault="006D7803" w:rsidP="00CA5357">
            <w:pPr>
              <w:spacing w:after="0"/>
              <w:rPr>
                <w:rFonts w:eastAsia="Calibri" w:cs="Arial"/>
              </w:rPr>
            </w:pPr>
          </w:p>
        </w:tc>
      </w:tr>
      <w:tr w:rsidR="00E54F88" w14:paraId="10CF89DC" w14:textId="77777777" w:rsidTr="00830204">
        <w:tc>
          <w:tcPr>
            <w:tcW w:w="1701" w:type="dxa"/>
          </w:tcPr>
          <w:p w14:paraId="5FA08D8F" w14:textId="2D639D56" w:rsidR="00E54F88" w:rsidRDefault="00E54F88" w:rsidP="002F3FCE">
            <w:pPr>
              <w:rPr>
                <w:rFonts w:eastAsia="Calibri"/>
              </w:rPr>
            </w:pPr>
            <w:r>
              <w:rPr>
                <w:rFonts w:eastAsia="Calibri"/>
              </w:rPr>
              <w:t>Other committee procedure rules</w:t>
            </w:r>
          </w:p>
          <w:p w14:paraId="459217E9" w14:textId="6197C5C8" w:rsidR="00E54F88" w:rsidRDefault="00E54F88" w:rsidP="002F3FCE">
            <w:pPr>
              <w:rPr>
                <w:rFonts w:eastAsia="Calibri"/>
              </w:rPr>
            </w:pPr>
            <w:r>
              <w:rPr>
                <w:rFonts w:eastAsia="Calibri"/>
              </w:rPr>
              <w:t>14.5</w:t>
            </w:r>
          </w:p>
        </w:tc>
        <w:tc>
          <w:tcPr>
            <w:tcW w:w="3686" w:type="dxa"/>
          </w:tcPr>
          <w:p w14:paraId="10AC2C0A" w14:textId="248B7988" w:rsidR="00E54F88" w:rsidRPr="00431DD5" w:rsidRDefault="00E54F88" w:rsidP="00E54F88">
            <w:pPr>
              <w:pStyle w:val="ListParagraph"/>
              <w:numPr>
                <w:ilvl w:val="0"/>
                <w:numId w:val="41"/>
              </w:numPr>
              <w:tabs>
                <w:tab w:val="clear" w:pos="426"/>
              </w:tabs>
              <w:spacing w:after="0"/>
              <w:contextualSpacing/>
              <w:rPr>
                <w:rFonts w:eastAsia="Calibri"/>
              </w:rPr>
            </w:pPr>
            <w:r w:rsidRPr="00E54F88">
              <w:rPr>
                <w:rFonts w:eastAsia="Calibri"/>
              </w:rPr>
              <w:t>To include a rule that the Chair of the Audit and Governance Committee should</w:t>
            </w:r>
            <w:r>
              <w:rPr>
                <w:rFonts w:eastAsia="Calibri"/>
              </w:rPr>
              <w:t xml:space="preserve"> not be a member of the Cabinet. </w:t>
            </w:r>
          </w:p>
        </w:tc>
        <w:tc>
          <w:tcPr>
            <w:tcW w:w="4252" w:type="dxa"/>
          </w:tcPr>
          <w:p w14:paraId="6421F294" w14:textId="77777777" w:rsidR="00E54F88" w:rsidRDefault="00E54F88" w:rsidP="00CA5357">
            <w:pPr>
              <w:spacing w:after="0"/>
              <w:rPr>
                <w:rFonts w:eastAsia="Calibri" w:cs="Arial"/>
              </w:rPr>
            </w:pPr>
            <w:r>
              <w:rPr>
                <w:rFonts w:eastAsia="Calibri" w:cs="Arial"/>
              </w:rPr>
              <w:t>T</w:t>
            </w:r>
            <w:r w:rsidRPr="00E54F88">
              <w:rPr>
                <w:rFonts w:eastAsia="Calibri" w:cs="Arial"/>
              </w:rPr>
              <w:t>o reflect the Chartered Institute of Public Finance and Accounting (</w:t>
            </w:r>
            <w:proofErr w:type="spellStart"/>
            <w:r w:rsidRPr="00E54F88">
              <w:rPr>
                <w:rFonts w:eastAsia="Calibri" w:cs="Arial"/>
              </w:rPr>
              <w:t>CIPFA</w:t>
            </w:r>
            <w:proofErr w:type="spellEnd"/>
            <w:r w:rsidRPr="00E54F88">
              <w:rPr>
                <w:rFonts w:eastAsia="Calibri" w:cs="Arial"/>
              </w:rPr>
              <w:t>) guidance on the membership of audit and governance committees that the Chair should not be a Cabinet Member to better facilitate the holding to account role that the committee has.</w:t>
            </w:r>
          </w:p>
          <w:p w14:paraId="38222418" w14:textId="0E800084" w:rsidR="006D7803" w:rsidRPr="00431DD5" w:rsidRDefault="006D7803" w:rsidP="00CA5357">
            <w:pPr>
              <w:spacing w:after="0"/>
              <w:rPr>
                <w:rFonts w:eastAsia="Calibri" w:cs="Arial"/>
              </w:rPr>
            </w:pPr>
          </w:p>
        </w:tc>
      </w:tr>
      <w:tr w:rsidR="001D1761" w14:paraId="3960BD16" w14:textId="77777777" w:rsidTr="00830204">
        <w:tc>
          <w:tcPr>
            <w:tcW w:w="1701" w:type="dxa"/>
          </w:tcPr>
          <w:p w14:paraId="3B829870" w14:textId="77777777" w:rsidR="001D1761" w:rsidRDefault="00151169" w:rsidP="002F3FCE">
            <w:pPr>
              <w:rPr>
                <w:rFonts w:eastAsia="Calibri"/>
              </w:rPr>
            </w:pPr>
            <w:r>
              <w:rPr>
                <w:rFonts w:eastAsia="Calibri"/>
              </w:rPr>
              <w:t>Call in procedures</w:t>
            </w:r>
          </w:p>
          <w:p w14:paraId="1C1ED668" w14:textId="77777777" w:rsidR="00151169" w:rsidRDefault="00151169" w:rsidP="002F3FCE">
            <w:pPr>
              <w:rPr>
                <w:rFonts w:eastAsia="Calibri"/>
              </w:rPr>
            </w:pPr>
            <w:r>
              <w:rPr>
                <w:rFonts w:eastAsia="Calibri"/>
              </w:rPr>
              <w:t>Part 17.4</w:t>
            </w:r>
          </w:p>
        </w:tc>
        <w:tc>
          <w:tcPr>
            <w:tcW w:w="3686" w:type="dxa"/>
          </w:tcPr>
          <w:p w14:paraId="4930AC3F" w14:textId="08DC33E7" w:rsidR="007964BC" w:rsidRPr="007964BC" w:rsidRDefault="007964BC" w:rsidP="007964BC">
            <w:pPr>
              <w:spacing w:after="0"/>
              <w:contextualSpacing/>
              <w:rPr>
                <w:rFonts w:eastAsia="Calibri"/>
              </w:rPr>
            </w:pPr>
            <w:r w:rsidRPr="007964BC">
              <w:rPr>
                <w:rFonts w:eastAsia="Calibri"/>
              </w:rPr>
              <w:t>This change would come into effect from May 2021.</w:t>
            </w:r>
          </w:p>
          <w:p w14:paraId="056412BA" w14:textId="77777777" w:rsidR="001D1761" w:rsidRDefault="00151169" w:rsidP="00151169">
            <w:pPr>
              <w:pStyle w:val="ListParagraph"/>
              <w:numPr>
                <w:ilvl w:val="0"/>
                <w:numId w:val="41"/>
              </w:numPr>
              <w:tabs>
                <w:tab w:val="clear" w:pos="426"/>
              </w:tabs>
              <w:spacing w:after="0"/>
              <w:contextualSpacing/>
              <w:rPr>
                <w:rFonts w:eastAsia="Calibri"/>
              </w:rPr>
            </w:pPr>
            <w:r w:rsidRPr="00151169">
              <w:rPr>
                <w:rFonts w:eastAsia="Calibri"/>
              </w:rPr>
              <w:t xml:space="preserve">To strengthen the grounds for call in to the Oxford City Planning Committee to require relevant material planning considerations. </w:t>
            </w:r>
          </w:p>
          <w:p w14:paraId="661425D3" w14:textId="77777777" w:rsidR="006D7803" w:rsidRPr="006D7803" w:rsidRDefault="006D7803" w:rsidP="006D7803">
            <w:pPr>
              <w:spacing w:after="0"/>
              <w:contextualSpacing/>
              <w:rPr>
                <w:rFonts w:eastAsia="Calibri"/>
              </w:rPr>
            </w:pPr>
          </w:p>
        </w:tc>
        <w:tc>
          <w:tcPr>
            <w:tcW w:w="4252" w:type="dxa"/>
          </w:tcPr>
          <w:p w14:paraId="2DFC0BE3" w14:textId="44C391CD" w:rsidR="001D1761" w:rsidRPr="001D1761" w:rsidRDefault="00151169" w:rsidP="00F656C9">
            <w:pPr>
              <w:spacing w:after="0"/>
              <w:rPr>
                <w:rFonts w:eastAsia="Calibri" w:cs="Arial"/>
              </w:rPr>
            </w:pPr>
            <w:r w:rsidRPr="00151169">
              <w:rPr>
                <w:rFonts w:eastAsia="Calibri" w:cs="Arial"/>
              </w:rPr>
              <w:t xml:space="preserve">To </w:t>
            </w:r>
            <w:r w:rsidR="00F656C9">
              <w:rPr>
                <w:rFonts w:eastAsia="Calibri" w:cs="Arial"/>
              </w:rPr>
              <w:t xml:space="preserve">provide a manageable workload for a single area planning committee </w:t>
            </w:r>
            <w:r w:rsidRPr="00151169">
              <w:rPr>
                <w:rFonts w:eastAsia="Calibri" w:cs="Arial"/>
              </w:rPr>
              <w:t>and also improve the level of service for applicants and other interested parties.</w:t>
            </w:r>
          </w:p>
        </w:tc>
      </w:tr>
      <w:tr w:rsidR="001D1761" w14:paraId="3BCDBC72" w14:textId="77777777" w:rsidTr="00830204">
        <w:tc>
          <w:tcPr>
            <w:tcW w:w="1701" w:type="dxa"/>
          </w:tcPr>
          <w:p w14:paraId="4F42C29E" w14:textId="77777777" w:rsidR="001D1761" w:rsidRDefault="00151169" w:rsidP="002F3FCE">
            <w:pPr>
              <w:rPr>
                <w:rFonts w:eastAsia="Calibri"/>
              </w:rPr>
            </w:pPr>
            <w:r>
              <w:rPr>
                <w:rFonts w:eastAsia="Calibri"/>
              </w:rPr>
              <w:t>Finance Rules</w:t>
            </w:r>
          </w:p>
          <w:p w14:paraId="4F310821" w14:textId="77777777" w:rsidR="00151169" w:rsidRDefault="00151169" w:rsidP="002F3FCE">
            <w:pPr>
              <w:rPr>
                <w:rFonts w:eastAsia="Calibri"/>
              </w:rPr>
            </w:pPr>
            <w:r>
              <w:rPr>
                <w:rFonts w:eastAsia="Calibri"/>
              </w:rPr>
              <w:t>Part 18.12</w:t>
            </w:r>
          </w:p>
        </w:tc>
        <w:tc>
          <w:tcPr>
            <w:tcW w:w="3686" w:type="dxa"/>
          </w:tcPr>
          <w:p w14:paraId="2711C6F0" w14:textId="77777777" w:rsidR="001D1761" w:rsidRPr="001D1761" w:rsidRDefault="00151169" w:rsidP="00151169">
            <w:pPr>
              <w:pStyle w:val="ListParagraph"/>
              <w:numPr>
                <w:ilvl w:val="0"/>
                <w:numId w:val="41"/>
              </w:numPr>
              <w:tabs>
                <w:tab w:val="clear" w:pos="426"/>
              </w:tabs>
              <w:spacing w:after="0"/>
              <w:contextualSpacing/>
              <w:rPr>
                <w:rFonts w:eastAsia="Calibri"/>
              </w:rPr>
            </w:pPr>
            <w:r w:rsidRPr="00151169">
              <w:rPr>
                <w:rFonts w:eastAsia="Calibri"/>
              </w:rPr>
              <w:t>To raise the financial threshold for heads of service to grant project approval from less than £150,000 to less than £185,000.</w:t>
            </w:r>
          </w:p>
        </w:tc>
        <w:tc>
          <w:tcPr>
            <w:tcW w:w="4252" w:type="dxa"/>
          </w:tcPr>
          <w:p w14:paraId="6B2F1FD1" w14:textId="77777777" w:rsidR="001D1761" w:rsidRDefault="00151169" w:rsidP="00CA5357">
            <w:pPr>
              <w:spacing w:after="0"/>
              <w:rPr>
                <w:rFonts w:eastAsia="Calibri" w:cs="Arial"/>
              </w:rPr>
            </w:pPr>
            <w:r w:rsidRPr="00151169">
              <w:rPr>
                <w:rFonts w:eastAsia="Calibri" w:cs="Arial"/>
              </w:rPr>
              <w:t>To align with the proposed thresholds for quotes and tenders set out in the table in Part 19. No change is proposed to the threshold for Cabinet decision of £500,000.</w:t>
            </w:r>
          </w:p>
          <w:p w14:paraId="70099CB5" w14:textId="77777777" w:rsidR="006D7803" w:rsidRPr="001D1761" w:rsidRDefault="006D7803" w:rsidP="00CA5357">
            <w:pPr>
              <w:spacing w:after="0"/>
              <w:rPr>
                <w:rFonts w:eastAsia="Calibri" w:cs="Arial"/>
              </w:rPr>
            </w:pPr>
          </w:p>
        </w:tc>
      </w:tr>
      <w:tr w:rsidR="001D1761" w14:paraId="277F9931" w14:textId="77777777" w:rsidTr="00830204">
        <w:trPr>
          <w:trHeight w:val="2330"/>
        </w:trPr>
        <w:tc>
          <w:tcPr>
            <w:tcW w:w="1701" w:type="dxa"/>
          </w:tcPr>
          <w:p w14:paraId="5EC34272" w14:textId="77777777" w:rsidR="001D1761" w:rsidRDefault="00151169" w:rsidP="002F3FCE">
            <w:pPr>
              <w:rPr>
                <w:rFonts w:eastAsia="Calibri"/>
              </w:rPr>
            </w:pPr>
            <w:r>
              <w:rPr>
                <w:rFonts w:eastAsia="Calibri"/>
              </w:rPr>
              <w:t>Contract Rules</w:t>
            </w:r>
          </w:p>
          <w:p w14:paraId="03D8F1E0" w14:textId="77777777" w:rsidR="00151169" w:rsidRDefault="00151169" w:rsidP="002F3FCE">
            <w:pPr>
              <w:rPr>
                <w:rFonts w:eastAsia="Calibri"/>
              </w:rPr>
            </w:pPr>
            <w:r>
              <w:rPr>
                <w:rFonts w:eastAsia="Calibri"/>
              </w:rPr>
              <w:t>Part 19.12</w:t>
            </w:r>
          </w:p>
        </w:tc>
        <w:tc>
          <w:tcPr>
            <w:tcW w:w="3686" w:type="dxa"/>
          </w:tcPr>
          <w:p w14:paraId="2270302E" w14:textId="77777777" w:rsidR="00F656C9" w:rsidRPr="00F656C9" w:rsidRDefault="00151169" w:rsidP="00F656C9">
            <w:pPr>
              <w:pStyle w:val="ListParagraph"/>
              <w:numPr>
                <w:ilvl w:val="0"/>
                <w:numId w:val="41"/>
              </w:numPr>
              <w:tabs>
                <w:tab w:val="clear" w:pos="426"/>
              </w:tabs>
              <w:spacing w:after="0"/>
              <w:contextualSpacing/>
              <w:rPr>
                <w:rFonts w:eastAsia="Calibri"/>
              </w:rPr>
            </w:pPr>
            <w:r>
              <w:rPr>
                <w:rFonts w:eastAsia="Calibri"/>
              </w:rPr>
              <w:t>To amend the thresholds for when quotes and tenders must be sought</w:t>
            </w:r>
          </w:p>
          <w:p w14:paraId="0A975470" w14:textId="44F51573" w:rsidR="00F656C9" w:rsidRDefault="00F656C9" w:rsidP="00F656C9">
            <w:pPr>
              <w:pStyle w:val="ListParagraph"/>
              <w:numPr>
                <w:ilvl w:val="0"/>
                <w:numId w:val="41"/>
              </w:numPr>
              <w:tabs>
                <w:tab w:val="clear" w:pos="426"/>
              </w:tabs>
              <w:spacing w:after="0"/>
              <w:contextualSpacing/>
              <w:rPr>
                <w:rFonts w:eastAsia="Calibri"/>
              </w:rPr>
            </w:pPr>
            <w:r w:rsidRPr="00F656C9">
              <w:rPr>
                <w:rFonts w:eastAsia="Calibri"/>
              </w:rPr>
              <w:t>To align the rules on seeking quotes and tenders approximately with the Find a Tender (</w:t>
            </w:r>
            <w:proofErr w:type="spellStart"/>
            <w:r w:rsidRPr="00F656C9">
              <w:rPr>
                <w:rFonts w:eastAsia="Calibri"/>
              </w:rPr>
              <w:t>FTS</w:t>
            </w:r>
            <w:proofErr w:type="spellEnd"/>
            <w:r w:rsidRPr="00F656C9">
              <w:rPr>
                <w:rFonts w:eastAsia="Calibri"/>
              </w:rPr>
              <w:t>) threshold (£189,330) instead of the Official Journal of the European Union (OJEU) threshold</w:t>
            </w:r>
          </w:p>
          <w:p w14:paraId="34C3C56A" w14:textId="4208A0BB" w:rsidR="001D1761" w:rsidRPr="001D1761" w:rsidRDefault="00F656C9" w:rsidP="00F656C9">
            <w:pPr>
              <w:pStyle w:val="ListParagraph"/>
              <w:numPr>
                <w:ilvl w:val="0"/>
                <w:numId w:val="41"/>
              </w:numPr>
              <w:tabs>
                <w:tab w:val="clear" w:pos="426"/>
              </w:tabs>
              <w:spacing w:after="0"/>
              <w:contextualSpacing/>
              <w:rPr>
                <w:rFonts w:eastAsia="Calibri"/>
              </w:rPr>
            </w:pPr>
            <w:r>
              <w:rPr>
                <w:rFonts w:eastAsia="Calibri"/>
              </w:rPr>
              <w:t>T</w:t>
            </w:r>
            <w:r w:rsidRPr="00F656C9">
              <w:rPr>
                <w:rFonts w:eastAsia="Calibri"/>
              </w:rPr>
              <w:t>o make other changes to the rules on quotes and tenders recommended by the Strategic Procurement Manager.</w:t>
            </w:r>
          </w:p>
        </w:tc>
        <w:tc>
          <w:tcPr>
            <w:tcW w:w="4252" w:type="dxa"/>
          </w:tcPr>
          <w:p w14:paraId="55793F56" w14:textId="1D0B6AA6" w:rsidR="001D1761" w:rsidRPr="001D1761" w:rsidRDefault="00F656C9" w:rsidP="00F656C9">
            <w:pPr>
              <w:spacing w:after="0"/>
              <w:rPr>
                <w:rFonts w:eastAsia="Calibri" w:cs="Arial"/>
              </w:rPr>
            </w:pPr>
            <w:r>
              <w:rPr>
                <w:rFonts w:eastAsia="Calibri" w:cs="Arial"/>
              </w:rPr>
              <w:t xml:space="preserve">To update the rules and provide clarity </w:t>
            </w:r>
          </w:p>
        </w:tc>
      </w:tr>
    </w:tbl>
    <w:p w14:paraId="6524A332" w14:textId="77777777" w:rsidR="002378AB" w:rsidRDefault="002378AB" w:rsidP="00C63C3B">
      <w:pPr>
        <w:spacing w:after="0"/>
      </w:pPr>
    </w:p>
    <w:p w14:paraId="0B12990C" w14:textId="77777777" w:rsidR="005515C9" w:rsidRPr="005515C9" w:rsidRDefault="005515C9" w:rsidP="005515C9">
      <w:pPr>
        <w:pStyle w:val="ListParagraph"/>
        <w:numPr>
          <w:ilvl w:val="0"/>
          <w:numId w:val="34"/>
        </w:numPr>
      </w:pPr>
      <w:r w:rsidRPr="005515C9">
        <w:t xml:space="preserve">Council is asked to approve the proposed amendments and to delegate authority to the Head of Law and Governance to make any other amendments necessary to ensure consistency throughout the Constitution, subsequent to the changes approved by Council. </w:t>
      </w:r>
    </w:p>
    <w:p w14:paraId="38B7B43B" w14:textId="34FDEA99" w:rsidR="005515C9" w:rsidRDefault="005515C9" w:rsidP="005515C9">
      <w:pPr>
        <w:pStyle w:val="ListParagraph"/>
        <w:numPr>
          <w:ilvl w:val="0"/>
          <w:numId w:val="34"/>
        </w:numPr>
        <w:spacing w:after="0"/>
      </w:pPr>
      <w:r>
        <w:t xml:space="preserve">It is proposed that the Council will continue to operate two area planning committees for the remainder of the current municipal year. The reduction to one Oxford City Planning Committee will take effect from May 2021 along with the </w:t>
      </w:r>
      <w:r w:rsidRPr="005515C9">
        <w:t>change to delegated authority for the Head of Planning Services</w:t>
      </w:r>
      <w:r>
        <w:t xml:space="preserve"> and th</w:t>
      </w:r>
      <w:r w:rsidR="00014ABE">
        <w:t>e other consequential changes</w:t>
      </w:r>
      <w:r>
        <w:t>.</w:t>
      </w:r>
    </w:p>
    <w:p w14:paraId="12879E42" w14:textId="77777777" w:rsidR="007964BC" w:rsidRDefault="007964BC" w:rsidP="007964BC">
      <w:pPr>
        <w:pStyle w:val="ListParagraph"/>
        <w:spacing w:after="0"/>
        <w:ind w:left="360"/>
      </w:pPr>
    </w:p>
    <w:p w14:paraId="02BFC8D1" w14:textId="741B766F" w:rsidR="007964BC" w:rsidRDefault="007964BC" w:rsidP="007964BC">
      <w:pPr>
        <w:pStyle w:val="ListParagraph"/>
        <w:numPr>
          <w:ilvl w:val="0"/>
          <w:numId w:val="34"/>
        </w:numPr>
        <w:spacing w:after="0"/>
      </w:pPr>
      <w:r>
        <w:t xml:space="preserve">The Council is asked to delegate authority to the Head of Law and Governance to make the necessary changes to the Constitution to allow for the </w:t>
      </w:r>
      <w:r w:rsidRPr="007964BC">
        <w:t xml:space="preserve">Oxford City Planning Committee </w:t>
      </w:r>
      <w:r>
        <w:t>to</w:t>
      </w:r>
      <w:r w:rsidRPr="007964BC">
        <w:t xml:space="preserve"> be responsible for reaching decisions on the matters in </w:t>
      </w:r>
      <w:r>
        <w:t xml:space="preserve">Part </w:t>
      </w:r>
      <w:r w:rsidRPr="007964BC">
        <w:t>5.3 within all wards</w:t>
      </w:r>
      <w:r w:rsidR="00431DD5">
        <w:t xml:space="preserve"> and for the threshold in respect of the call in of planning decisions to be updated</w:t>
      </w:r>
      <w:r>
        <w:t xml:space="preserve"> with effect from May 2021</w:t>
      </w:r>
      <w:r w:rsidRPr="007964BC">
        <w:t>.</w:t>
      </w:r>
    </w:p>
    <w:p w14:paraId="0E9DF15C" w14:textId="77777777" w:rsidR="00FB57B4" w:rsidRDefault="00FB57B4" w:rsidP="00FB0487">
      <w:pPr>
        <w:pStyle w:val="bParagraphtext"/>
        <w:rPr>
          <w:rStyle w:val="ListParagraphChar"/>
          <w:b/>
        </w:rPr>
      </w:pPr>
    </w:p>
    <w:p w14:paraId="5C410CE5" w14:textId="77777777" w:rsidR="007B47A7" w:rsidRPr="007B47A7" w:rsidRDefault="007B47A7" w:rsidP="00830204">
      <w:pPr>
        <w:pStyle w:val="Heading1"/>
        <w:rPr>
          <w:rStyle w:val="ListParagraphChar"/>
          <w:b w:val="0"/>
        </w:rPr>
      </w:pPr>
      <w:r>
        <w:rPr>
          <w:rStyle w:val="ListParagraphChar"/>
        </w:rPr>
        <w:t>Monitoring Officer’s use of delegated authority</w:t>
      </w:r>
    </w:p>
    <w:p w14:paraId="4698890E" w14:textId="77777777" w:rsidR="00DD068B" w:rsidRPr="00DD068B" w:rsidRDefault="001D1761" w:rsidP="00D6291F">
      <w:pPr>
        <w:pStyle w:val="ListParagraph"/>
        <w:numPr>
          <w:ilvl w:val="0"/>
          <w:numId w:val="34"/>
        </w:numPr>
        <w:tabs>
          <w:tab w:val="clear" w:pos="426"/>
        </w:tabs>
        <w:spacing w:after="0"/>
        <w:ind w:left="567" w:hanging="567"/>
        <w:contextualSpacing/>
        <w:rPr>
          <w:rStyle w:val="ListParagraphChar"/>
        </w:rPr>
      </w:pPr>
      <w:r>
        <w:rPr>
          <w:rStyle w:val="ListParagraphChar"/>
          <w:color w:val="auto"/>
        </w:rPr>
        <w:lastRenderedPageBreak/>
        <w:t>T</w:t>
      </w:r>
      <w:r w:rsidR="00DD068B">
        <w:rPr>
          <w:rStyle w:val="ListParagraphChar"/>
          <w:color w:val="auto"/>
        </w:rPr>
        <w:t xml:space="preserve">he Monitoring </w:t>
      </w:r>
      <w:r>
        <w:rPr>
          <w:rStyle w:val="ListParagraphChar"/>
          <w:color w:val="auto"/>
        </w:rPr>
        <w:t xml:space="preserve">Officer has the delegated authority (Part 2.5) to </w:t>
      </w:r>
      <w:r w:rsidR="00DD068B">
        <w:rPr>
          <w:rStyle w:val="ListParagraphChar"/>
          <w:color w:val="auto"/>
        </w:rPr>
        <w:t xml:space="preserve">change the Constitution if it is to put right clerical mistakes or to make it follow the law. </w:t>
      </w:r>
    </w:p>
    <w:p w14:paraId="64CEAC16" w14:textId="77777777" w:rsidR="00DD068B" w:rsidRDefault="00DD068B" w:rsidP="00DD068B">
      <w:pPr>
        <w:spacing w:after="0"/>
        <w:contextualSpacing/>
        <w:rPr>
          <w:rStyle w:val="ListParagraphChar"/>
        </w:rPr>
      </w:pPr>
    </w:p>
    <w:p w14:paraId="67ACA533" w14:textId="77777777" w:rsidR="00C73D6B" w:rsidRDefault="001D1761" w:rsidP="00C72BAD">
      <w:pPr>
        <w:pStyle w:val="ListParagraph"/>
        <w:numPr>
          <w:ilvl w:val="0"/>
          <w:numId w:val="34"/>
        </w:numPr>
        <w:tabs>
          <w:tab w:val="clear" w:pos="426"/>
        </w:tabs>
        <w:spacing w:after="0"/>
        <w:ind w:left="567" w:hanging="567"/>
        <w:contextualSpacing/>
      </w:pPr>
      <w:r>
        <w:rPr>
          <w:rStyle w:val="ListParagraphChar"/>
          <w:color w:val="auto"/>
        </w:rPr>
        <w:t>T</w:t>
      </w:r>
      <w:r w:rsidR="00997B37">
        <w:rPr>
          <w:rStyle w:val="ListParagraphChar"/>
          <w:color w:val="auto"/>
        </w:rPr>
        <w:t xml:space="preserve">he </w:t>
      </w:r>
      <w:r w:rsidR="00E715C7" w:rsidRPr="00D6291F">
        <w:rPr>
          <w:rStyle w:val="ListParagraphChar"/>
          <w:color w:val="auto"/>
        </w:rPr>
        <w:t xml:space="preserve">Monitoring Officer </w:t>
      </w:r>
      <w:r w:rsidR="00DD068B">
        <w:rPr>
          <w:rStyle w:val="ListParagraphChar"/>
          <w:color w:val="auto"/>
        </w:rPr>
        <w:t>has used her</w:t>
      </w:r>
      <w:r w:rsidR="00E715C7" w:rsidRPr="00D6291F">
        <w:rPr>
          <w:rStyle w:val="ListParagraphChar"/>
          <w:color w:val="auto"/>
        </w:rPr>
        <w:t xml:space="preserve"> delegated authority</w:t>
      </w:r>
      <w:r w:rsidR="00C51932" w:rsidRPr="00D6291F">
        <w:rPr>
          <w:rStyle w:val="ListParagraphChar"/>
          <w:color w:val="auto"/>
        </w:rPr>
        <w:t xml:space="preserve"> </w:t>
      </w:r>
      <w:r w:rsidR="00E715C7" w:rsidRPr="00E715C7">
        <w:rPr>
          <w:rStyle w:val="ListParagraphChar"/>
        </w:rPr>
        <w:t xml:space="preserve">to make any changes necessary to ensure the Constitution continues to reflect the law, </w:t>
      </w:r>
      <w:r w:rsidR="000E2EB7">
        <w:rPr>
          <w:rStyle w:val="ListParagraphChar"/>
        </w:rPr>
        <w:t xml:space="preserve">revise job titles </w:t>
      </w:r>
      <w:r w:rsidR="00E715C7" w:rsidRPr="00E715C7">
        <w:rPr>
          <w:rStyle w:val="ListParagraphChar"/>
        </w:rPr>
        <w:t xml:space="preserve">and to correct clerical mistakes and inconsistencies.  </w:t>
      </w:r>
    </w:p>
    <w:p w14:paraId="654A943B" w14:textId="77777777" w:rsidR="00C72BAD" w:rsidRDefault="00C72BAD" w:rsidP="00C72BAD">
      <w:pPr>
        <w:rPr>
          <w:color w:val="auto"/>
        </w:rPr>
      </w:pPr>
    </w:p>
    <w:p w14:paraId="79257B30" w14:textId="77777777" w:rsidR="001D1761" w:rsidRPr="001D1761" w:rsidRDefault="001D1761" w:rsidP="00830204">
      <w:pPr>
        <w:pStyle w:val="Heading1"/>
      </w:pPr>
      <w:r w:rsidRPr="001D1761">
        <w:t xml:space="preserve">Revised constitution </w:t>
      </w:r>
    </w:p>
    <w:p w14:paraId="2DF3E5E3" w14:textId="77777777" w:rsidR="00C72BAD" w:rsidRDefault="00DC51F0" w:rsidP="00C72BAD">
      <w:pPr>
        <w:pStyle w:val="ListParagraph"/>
        <w:numPr>
          <w:ilvl w:val="0"/>
          <w:numId w:val="34"/>
        </w:numPr>
        <w:tabs>
          <w:tab w:val="clear" w:pos="426"/>
        </w:tabs>
        <w:ind w:left="567" w:hanging="567"/>
        <w:rPr>
          <w:color w:val="auto"/>
        </w:rPr>
      </w:pPr>
      <w:r w:rsidRPr="00DC51F0">
        <w:rPr>
          <w:color w:val="auto"/>
        </w:rPr>
        <w:t>The</w:t>
      </w:r>
      <w:r w:rsidR="00D6291F" w:rsidRPr="00DC51F0">
        <w:rPr>
          <w:color w:val="auto"/>
        </w:rPr>
        <w:t xml:space="preserve"> Constitution </w:t>
      </w:r>
      <w:r w:rsidR="00FB57B4" w:rsidRPr="00FB57B4">
        <w:rPr>
          <w:color w:val="auto"/>
        </w:rPr>
        <w:t xml:space="preserve">including the proposed amendments </w:t>
      </w:r>
      <w:r w:rsidRPr="00DC51F0">
        <w:rPr>
          <w:color w:val="auto"/>
        </w:rPr>
        <w:t>is presented</w:t>
      </w:r>
      <w:r w:rsidR="00923140">
        <w:rPr>
          <w:color w:val="auto"/>
        </w:rPr>
        <w:t xml:space="preserve"> in Appendix 2</w:t>
      </w:r>
      <w:r w:rsidR="00D6291F" w:rsidRPr="00DC51F0">
        <w:rPr>
          <w:color w:val="auto"/>
        </w:rPr>
        <w:t>.</w:t>
      </w:r>
      <w:r w:rsidR="00C72BAD">
        <w:rPr>
          <w:color w:val="auto"/>
        </w:rPr>
        <w:t xml:space="preserve"> </w:t>
      </w:r>
    </w:p>
    <w:p w14:paraId="00C6FC47" w14:textId="77777777" w:rsidR="00C72BAD" w:rsidRDefault="00C72BAD" w:rsidP="00C72BAD">
      <w:pPr>
        <w:pStyle w:val="ListParagraph"/>
        <w:rPr>
          <w:rStyle w:val="ListParagraphChar"/>
        </w:rPr>
      </w:pPr>
    </w:p>
    <w:p w14:paraId="3B6F4D1F" w14:textId="03A21C95" w:rsidR="006B2AD0" w:rsidRPr="00830204" w:rsidRDefault="006B2AD0" w:rsidP="006B2AD0">
      <w:pPr>
        <w:pStyle w:val="ListParagraph"/>
        <w:numPr>
          <w:ilvl w:val="0"/>
          <w:numId w:val="34"/>
        </w:numPr>
        <w:tabs>
          <w:tab w:val="clear" w:pos="426"/>
        </w:tabs>
        <w:ind w:left="567" w:hanging="567"/>
        <w:rPr>
          <w:rStyle w:val="ListParagraphChar"/>
          <w:color w:val="auto"/>
        </w:rPr>
      </w:pPr>
      <w:r>
        <w:rPr>
          <w:rStyle w:val="ListParagraphChar"/>
        </w:rPr>
        <w:t>The table below list</w:t>
      </w:r>
      <w:r w:rsidR="00DC51F0">
        <w:rPr>
          <w:rStyle w:val="ListParagraphChar"/>
        </w:rPr>
        <w:t>s</w:t>
      </w:r>
      <w:r>
        <w:rPr>
          <w:rStyle w:val="ListParagraphChar"/>
        </w:rPr>
        <w:t xml:space="preserve"> those Parts of the Constitution which have not changed since the last publication:</w:t>
      </w:r>
    </w:p>
    <w:tbl>
      <w:tblPr>
        <w:tblStyle w:val="TableGrid"/>
        <w:tblW w:w="0" w:type="auto"/>
        <w:tblLook w:val="04A0" w:firstRow="1" w:lastRow="0" w:firstColumn="1" w:lastColumn="0" w:noHBand="0" w:noVBand="1"/>
      </w:tblPr>
      <w:tblGrid>
        <w:gridCol w:w="1271"/>
        <w:gridCol w:w="5670"/>
      </w:tblGrid>
      <w:tr w:rsidR="00830204" w:rsidRPr="00830204" w14:paraId="76341F75" w14:textId="77777777" w:rsidTr="00830204">
        <w:tc>
          <w:tcPr>
            <w:tcW w:w="1271" w:type="dxa"/>
          </w:tcPr>
          <w:p w14:paraId="0A8A67D7" w14:textId="77777777" w:rsidR="00830204" w:rsidRPr="00830204" w:rsidRDefault="00830204" w:rsidP="002D22C1">
            <w:pPr>
              <w:pStyle w:val="ListParagraph"/>
              <w:tabs>
                <w:tab w:val="clear" w:pos="426"/>
              </w:tabs>
              <w:rPr>
                <w:rStyle w:val="ListParagraphChar"/>
              </w:rPr>
            </w:pPr>
            <w:r w:rsidRPr="00830204">
              <w:rPr>
                <w:rStyle w:val="ListParagraphChar"/>
              </w:rPr>
              <w:t>Part</w:t>
            </w:r>
          </w:p>
        </w:tc>
        <w:tc>
          <w:tcPr>
            <w:tcW w:w="5670" w:type="dxa"/>
          </w:tcPr>
          <w:p w14:paraId="7ABE6BA2" w14:textId="77777777" w:rsidR="00830204" w:rsidRPr="00830204" w:rsidRDefault="00830204" w:rsidP="002D22C1">
            <w:pPr>
              <w:pStyle w:val="ListParagraph"/>
              <w:tabs>
                <w:tab w:val="clear" w:pos="426"/>
              </w:tabs>
              <w:rPr>
                <w:rStyle w:val="ListParagraphChar"/>
              </w:rPr>
            </w:pPr>
          </w:p>
        </w:tc>
      </w:tr>
      <w:tr w:rsidR="00830204" w:rsidRPr="00830204" w14:paraId="3484A1CB" w14:textId="77777777" w:rsidTr="00830204">
        <w:tc>
          <w:tcPr>
            <w:tcW w:w="1271" w:type="dxa"/>
          </w:tcPr>
          <w:p w14:paraId="48A7C437" w14:textId="77777777" w:rsidR="00830204" w:rsidRPr="00830204" w:rsidRDefault="00830204" w:rsidP="002D22C1">
            <w:pPr>
              <w:pStyle w:val="ListParagraph"/>
              <w:tabs>
                <w:tab w:val="clear" w:pos="426"/>
              </w:tabs>
              <w:rPr>
                <w:rStyle w:val="ListParagraphChar"/>
              </w:rPr>
            </w:pPr>
            <w:r w:rsidRPr="00830204">
              <w:rPr>
                <w:rStyle w:val="ListParagraphChar"/>
              </w:rPr>
              <w:t>Part 1</w:t>
            </w:r>
          </w:p>
        </w:tc>
        <w:tc>
          <w:tcPr>
            <w:tcW w:w="5670" w:type="dxa"/>
          </w:tcPr>
          <w:p w14:paraId="671F3D6E" w14:textId="77777777" w:rsidR="00830204" w:rsidRPr="00830204" w:rsidRDefault="00830204" w:rsidP="002D22C1">
            <w:pPr>
              <w:pStyle w:val="ListParagraph"/>
              <w:tabs>
                <w:tab w:val="clear" w:pos="426"/>
              </w:tabs>
              <w:rPr>
                <w:rStyle w:val="ListParagraphChar"/>
              </w:rPr>
            </w:pPr>
            <w:r w:rsidRPr="00830204">
              <w:rPr>
                <w:rStyle w:val="ListParagraphChar"/>
              </w:rPr>
              <w:t>Citizens’ rights and other basic rules</w:t>
            </w:r>
          </w:p>
        </w:tc>
      </w:tr>
      <w:tr w:rsidR="00830204" w:rsidRPr="00830204" w14:paraId="03012C4D" w14:textId="77777777" w:rsidTr="00830204">
        <w:tc>
          <w:tcPr>
            <w:tcW w:w="1271" w:type="dxa"/>
          </w:tcPr>
          <w:p w14:paraId="5F3FB3BF" w14:textId="77777777" w:rsidR="00830204" w:rsidRPr="00830204" w:rsidRDefault="00830204" w:rsidP="002D22C1">
            <w:pPr>
              <w:pStyle w:val="ListParagraph"/>
              <w:tabs>
                <w:tab w:val="clear" w:pos="426"/>
              </w:tabs>
              <w:rPr>
                <w:rStyle w:val="ListParagraphChar"/>
              </w:rPr>
            </w:pPr>
            <w:r w:rsidRPr="00830204">
              <w:rPr>
                <w:rStyle w:val="ListParagraphChar"/>
              </w:rPr>
              <w:t>Part 2</w:t>
            </w:r>
          </w:p>
        </w:tc>
        <w:tc>
          <w:tcPr>
            <w:tcW w:w="5670" w:type="dxa"/>
          </w:tcPr>
          <w:p w14:paraId="29DF9FC6" w14:textId="77777777" w:rsidR="00830204" w:rsidRPr="00830204" w:rsidRDefault="00830204" w:rsidP="002D22C1">
            <w:pPr>
              <w:pStyle w:val="ListParagraph"/>
              <w:tabs>
                <w:tab w:val="clear" w:pos="426"/>
              </w:tabs>
              <w:rPr>
                <w:rStyle w:val="ListParagraphChar"/>
              </w:rPr>
            </w:pPr>
            <w:r w:rsidRPr="00830204">
              <w:rPr>
                <w:rStyle w:val="ListParagraphChar"/>
              </w:rPr>
              <w:t>About the Constitution</w:t>
            </w:r>
          </w:p>
        </w:tc>
      </w:tr>
      <w:tr w:rsidR="00830204" w:rsidRPr="00830204" w14:paraId="37259967" w14:textId="77777777" w:rsidTr="00830204">
        <w:tc>
          <w:tcPr>
            <w:tcW w:w="1271" w:type="dxa"/>
          </w:tcPr>
          <w:p w14:paraId="5F0D3061" w14:textId="77777777" w:rsidR="00830204" w:rsidRPr="00830204" w:rsidRDefault="00830204" w:rsidP="002D22C1">
            <w:pPr>
              <w:pStyle w:val="ListParagraph"/>
              <w:tabs>
                <w:tab w:val="clear" w:pos="426"/>
              </w:tabs>
              <w:rPr>
                <w:rStyle w:val="ListParagraphChar"/>
              </w:rPr>
            </w:pPr>
            <w:r w:rsidRPr="00830204">
              <w:rPr>
                <w:rStyle w:val="ListParagraphChar"/>
              </w:rPr>
              <w:t>Part 12</w:t>
            </w:r>
          </w:p>
        </w:tc>
        <w:tc>
          <w:tcPr>
            <w:tcW w:w="5670" w:type="dxa"/>
          </w:tcPr>
          <w:p w14:paraId="1805F21A" w14:textId="77777777" w:rsidR="00830204" w:rsidRPr="00830204" w:rsidRDefault="00830204" w:rsidP="002D22C1">
            <w:pPr>
              <w:pStyle w:val="ListParagraph"/>
              <w:tabs>
                <w:tab w:val="clear" w:pos="426"/>
              </w:tabs>
              <w:rPr>
                <w:rStyle w:val="ListParagraphChar"/>
              </w:rPr>
            </w:pPr>
            <w:r w:rsidRPr="00830204">
              <w:rPr>
                <w:rStyle w:val="ListParagraphChar"/>
              </w:rPr>
              <w:t>Cabinet procedures</w:t>
            </w:r>
          </w:p>
        </w:tc>
      </w:tr>
      <w:tr w:rsidR="00830204" w:rsidRPr="00830204" w14:paraId="0E23270B" w14:textId="77777777" w:rsidTr="00830204">
        <w:tc>
          <w:tcPr>
            <w:tcW w:w="1271" w:type="dxa"/>
          </w:tcPr>
          <w:p w14:paraId="387AC29C" w14:textId="77777777" w:rsidR="00830204" w:rsidRPr="00830204" w:rsidRDefault="00830204" w:rsidP="002D22C1">
            <w:pPr>
              <w:pStyle w:val="ListParagraph"/>
              <w:tabs>
                <w:tab w:val="clear" w:pos="426"/>
              </w:tabs>
              <w:rPr>
                <w:rStyle w:val="ListParagraphChar"/>
              </w:rPr>
            </w:pPr>
            <w:r w:rsidRPr="00830204">
              <w:rPr>
                <w:rStyle w:val="ListParagraphChar"/>
              </w:rPr>
              <w:t>Part 13</w:t>
            </w:r>
          </w:p>
        </w:tc>
        <w:tc>
          <w:tcPr>
            <w:tcW w:w="5670" w:type="dxa"/>
          </w:tcPr>
          <w:p w14:paraId="5888AB5E" w14:textId="77777777" w:rsidR="00830204" w:rsidRPr="00830204" w:rsidRDefault="00830204" w:rsidP="002D22C1">
            <w:pPr>
              <w:pStyle w:val="ListParagraph"/>
              <w:tabs>
                <w:tab w:val="clear" w:pos="426"/>
              </w:tabs>
              <w:rPr>
                <w:rStyle w:val="ListParagraphChar"/>
              </w:rPr>
            </w:pPr>
            <w:r w:rsidRPr="00830204">
              <w:rPr>
                <w:rStyle w:val="ListParagraphChar"/>
              </w:rPr>
              <w:t>Scrutiny Committee Procedures</w:t>
            </w:r>
          </w:p>
        </w:tc>
      </w:tr>
      <w:tr w:rsidR="00830204" w:rsidRPr="00830204" w14:paraId="59C9BFC7" w14:textId="77777777" w:rsidTr="00830204">
        <w:tc>
          <w:tcPr>
            <w:tcW w:w="1271" w:type="dxa"/>
          </w:tcPr>
          <w:p w14:paraId="759D8811" w14:textId="77777777" w:rsidR="00830204" w:rsidRPr="00830204" w:rsidRDefault="00830204" w:rsidP="002D22C1">
            <w:pPr>
              <w:pStyle w:val="ListParagraph"/>
              <w:tabs>
                <w:tab w:val="clear" w:pos="426"/>
              </w:tabs>
              <w:rPr>
                <w:rStyle w:val="ListParagraphChar"/>
              </w:rPr>
            </w:pPr>
            <w:r w:rsidRPr="00830204">
              <w:rPr>
                <w:rStyle w:val="ListParagraphChar"/>
              </w:rPr>
              <w:t>Part 15</w:t>
            </w:r>
          </w:p>
        </w:tc>
        <w:tc>
          <w:tcPr>
            <w:tcW w:w="5670" w:type="dxa"/>
          </w:tcPr>
          <w:p w14:paraId="3779E16C" w14:textId="77777777" w:rsidR="00830204" w:rsidRPr="00830204" w:rsidRDefault="00830204" w:rsidP="002D22C1">
            <w:pPr>
              <w:pStyle w:val="ListParagraph"/>
              <w:tabs>
                <w:tab w:val="clear" w:pos="426"/>
              </w:tabs>
              <w:rPr>
                <w:rStyle w:val="ListParagraphChar"/>
              </w:rPr>
            </w:pPr>
            <w:r w:rsidRPr="00830204">
              <w:rPr>
                <w:rStyle w:val="ListParagraphChar"/>
              </w:rPr>
              <w:t>Access to information and key decision procedures</w:t>
            </w:r>
          </w:p>
        </w:tc>
      </w:tr>
      <w:tr w:rsidR="00830204" w:rsidRPr="00830204" w14:paraId="4A7BA0F0" w14:textId="77777777" w:rsidTr="00830204">
        <w:tc>
          <w:tcPr>
            <w:tcW w:w="1271" w:type="dxa"/>
          </w:tcPr>
          <w:p w14:paraId="2BCF2370" w14:textId="77777777" w:rsidR="00830204" w:rsidRPr="00830204" w:rsidRDefault="00830204" w:rsidP="002D22C1">
            <w:pPr>
              <w:pStyle w:val="ListParagraph"/>
              <w:tabs>
                <w:tab w:val="clear" w:pos="426"/>
              </w:tabs>
              <w:rPr>
                <w:rStyle w:val="ListParagraphChar"/>
              </w:rPr>
            </w:pPr>
            <w:r w:rsidRPr="00830204">
              <w:rPr>
                <w:rStyle w:val="ListParagraphChar"/>
              </w:rPr>
              <w:t>Part 16</w:t>
            </w:r>
          </w:p>
        </w:tc>
        <w:tc>
          <w:tcPr>
            <w:tcW w:w="5670" w:type="dxa"/>
          </w:tcPr>
          <w:p w14:paraId="448F59FA" w14:textId="77777777" w:rsidR="00830204" w:rsidRPr="00830204" w:rsidRDefault="00830204" w:rsidP="002D22C1">
            <w:pPr>
              <w:pStyle w:val="ListParagraph"/>
              <w:tabs>
                <w:tab w:val="clear" w:pos="426"/>
              </w:tabs>
              <w:rPr>
                <w:rStyle w:val="ListParagraphChar"/>
              </w:rPr>
            </w:pPr>
            <w:r w:rsidRPr="00830204">
              <w:rPr>
                <w:rStyle w:val="ListParagraphChar"/>
              </w:rPr>
              <w:t>Budget and Policy Framework Procedures</w:t>
            </w:r>
          </w:p>
        </w:tc>
      </w:tr>
      <w:tr w:rsidR="00830204" w:rsidRPr="00830204" w14:paraId="0A86C321" w14:textId="77777777" w:rsidTr="00830204">
        <w:tc>
          <w:tcPr>
            <w:tcW w:w="1271" w:type="dxa"/>
          </w:tcPr>
          <w:p w14:paraId="03D9FE38" w14:textId="77777777" w:rsidR="00830204" w:rsidRPr="00830204" w:rsidRDefault="00830204" w:rsidP="002D22C1">
            <w:pPr>
              <w:pStyle w:val="ListParagraph"/>
              <w:tabs>
                <w:tab w:val="clear" w:pos="426"/>
              </w:tabs>
              <w:rPr>
                <w:rStyle w:val="ListParagraphChar"/>
              </w:rPr>
            </w:pPr>
            <w:r w:rsidRPr="00830204">
              <w:rPr>
                <w:rStyle w:val="ListParagraphChar"/>
              </w:rPr>
              <w:t>Part 20</w:t>
            </w:r>
          </w:p>
        </w:tc>
        <w:tc>
          <w:tcPr>
            <w:tcW w:w="5670" w:type="dxa"/>
          </w:tcPr>
          <w:p w14:paraId="5CFA5474" w14:textId="77777777" w:rsidR="00830204" w:rsidRPr="00830204" w:rsidRDefault="00830204" w:rsidP="002D22C1">
            <w:pPr>
              <w:pStyle w:val="ListParagraph"/>
              <w:tabs>
                <w:tab w:val="clear" w:pos="426"/>
              </w:tabs>
              <w:rPr>
                <w:rStyle w:val="ListParagraphChar"/>
              </w:rPr>
            </w:pPr>
            <w:r w:rsidRPr="00830204">
              <w:rPr>
                <w:rStyle w:val="ListParagraphChar"/>
              </w:rPr>
              <w:t>Employment Rules</w:t>
            </w:r>
          </w:p>
        </w:tc>
      </w:tr>
      <w:tr w:rsidR="00830204" w:rsidRPr="00830204" w14:paraId="5B313C18" w14:textId="77777777" w:rsidTr="00830204">
        <w:tc>
          <w:tcPr>
            <w:tcW w:w="1271" w:type="dxa"/>
          </w:tcPr>
          <w:p w14:paraId="6EF88C6C" w14:textId="77777777" w:rsidR="00830204" w:rsidRPr="00830204" w:rsidRDefault="00830204" w:rsidP="002D22C1">
            <w:pPr>
              <w:pStyle w:val="ListParagraph"/>
              <w:tabs>
                <w:tab w:val="clear" w:pos="426"/>
              </w:tabs>
              <w:rPr>
                <w:rStyle w:val="ListParagraphChar"/>
              </w:rPr>
            </w:pPr>
            <w:r w:rsidRPr="00830204">
              <w:rPr>
                <w:rStyle w:val="ListParagraphChar"/>
              </w:rPr>
              <w:t>Part 22</w:t>
            </w:r>
          </w:p>
        </w:tc>
        <w:tc>
          <w:tcPr>
            <w:tcW w:w="5670" w:type="dxa"/>
          </w:tcPr>
          <w:p w14:paraId="502FF75B" w14:textId="77777777" w:rsidR="00830204" w:rsidRPr="00830204" w:rsidRDefault="00830204" w:rsidP="002D22C1">
            <w:pPr>
              <w:pStyle w:val="ListParagraph"/>
              <w:tabs>
                <w:tab w:val="clear" w:pos="426"/>
              </w:tabs>
              <w:rPr>
                <w:rStyle w:val="ListParagraphChar"/>
              </w:rPr>
            </w:pPr>
            <w:r w:rsidRPr="00830204">
              <w:rPr>
                <w:rStyle w:val="ListParagraphChar"/>
              </w:rPr>
              <w:t>Members’ Code of Conduct</w:t>
            </w:r>
          </w:p>
        </w:tc>
      </w:tr>
      <w:tr w:rsidR="00830204" w:rsidRPr="00830204" w14:paraId="25128E73" w14:textId="77777777" w:rsidTr="00830204">
        <w:tc>
          <w:tcPr>
            <w:tcW w:w="1271" w:type="dxa"/>
          </w:tcPr>
          <w:p w14:paraId="0ADB3CFD" w14:textId="77777777" w:rsidR="00830204" w:rsidRPr="00830204" w:rsidRDefault="00830204" w:rsidP="002D22C1">
            <w:pPr>
              <w:pStyle w:val="ListParagraph"/>
              <w:tabs>
                <w:tab w:val="clear" w:pos="426"/>
              </w:tabs>
              <w:rPr>
                <w:rStyle w:val="ListParagraphChar"/>
              </w:rPr>
            </w:pPr>
            <w:r w:rsidRPr="00830204">
              <w:rPr>
                <w:rStyle w:val="ListParagraphChar"/>
              </w:rPr>
              <w:t>Part 23</w:t>
            </w:r>
          </w:p>
        </w:tc>
        <w:tc>
          <w:tcPr>
            <w:tcW w:w="5670" w:type="dxa"/>
          </w:tcPr>
          <w:p w14:paraId="17BF6857" w14:textId="77777777" w:rsidR="00830204" w:rsidRPr="00830204" w:rsidRDefault="00830204" w:rsidP="002D22C1">
            <w:pPr>
              <w:pStyle w:val="ListParagraph"/>
              <w:tabs>
                <w:tab w:val="clear" w:pos="426"/>
              </w:tabs>
              <w:rPr>
                <w:rStyle w:val="ListParagraphChar"/>
              </w:rPr>
            </w:pPr>
            <w:r w:rsidRPr="00830204">
              <w:rPr>
                <w:rStyle w:val="ListParagraphChar"/>
              </w:rPr>
              <w:t>Code on councillor-officer relations</w:t>
            </w:r>
          </w:p>
        </w:tc>
      </w:tr>
      <w:tr w:rsidR="00830204" w:rsidRPr="00830204" w14:paraId="5014665B" w14:textId="77777777" w:rsidTr="00830204">
        <w:tc>
          <w:tcPr>
            <w:tcW w:w="1271" w:type="dxa"/>
          </w:tcPr>
          <w:p w14:paraId="53EF9822" w14:textId="77777777" w:rsidR="00830204" w:rsidRPr="00830204" w:rsidRDefault="00830204" w:rsidP="002D22C1">
            <w:pPr>
              <w:pStyle w:val="ListParagraph"/>
              <w:tabs>
                <w:tab w:val="clear" w:pos="426"/>
              </w:tabs>
              <w:rPr>
                <w:rStyle w:val="ListParagraphChar"/>
              </w:rPr>
            </w:pPr>
            <w:r w:rsidRPr="00830204">
              <w:rPr>
                <w:rStyle w:val="ListParagraphChar"/>
              </w:rPr>
              <w:t xml:space="preserve">Part 25 </w:t>
            </w:r>
          </w:p>
        </w:tc>
        <w:tc>
          <w:tcPr>
            <w:tcW w:w="5670" w:type="dxa"/>
          </w:tcPr>
          <w:p w14:paraId="29AC3FB2" w14:textId="77777777" w:rsidR="00830204" w:rsidRPr="00830204" w:rsidRDefault="00830204" w:rsidP="002D22C1">
            <w:pPr>
              <w:pStyle w:val="ListParagraph"/>
              <w:tabs>
                <w:tab w:val="clear" w:pos="426"/>
              </w:tabs>
              <w:rPr>
                <w:rStyle w:val="ListParagraphChar"/>
              </w:rPr>
            </w:pPr>
            <w:r w:rsidRPr="00830204">
              <w:rPr>
                <w:rStyle w:val="ListParagraphChar"/>
              </w:rPr>
              <w:t>Whistle-blowing Policy</w:t>
            </w:r>
          </w:p>
        </w:tc>
      </w:tr>
      <w:tr w:rsidR="00830204" w:rsidRPr="00830204" w14:paraId="4FCDEA9A" w14:textId="77777777" w:rsidTr="00830204">
        <w:tc>
          <w:tcPr>
            <w:tcW w:w="1271" w:type="dxa"/>
          </w:tcPr>
          <w:p w14:paraId="39A790F8" w14:textId="77777777" w:rsidR="00830204" w:rsidRPr="00830204" w:rsidRDefault="00830204" w:rsidP="002D22C1">
            <w:pPr>
              <w:pStyle w:val="ListParagraph"/>
              <w:tabs>
                <w:tab w:val="clear" w:pos="426"/>
              </w:tabs>
              <w:rPr>
                <w:rStyle w:val="ListParagraphChar"/>
              </w:rPr>
            </w:pPr>
            <w:r w:rsidRPr="00830204">
              <w:rPr>
                <w:rStyle w:val="ListParagraphChar"/>
              </w:rPr>
              <w:t>Part 27</w:t>
            </w:r>
          </w:p>
        </w:tc>
        <w:tc>
          <w:tcPr>
            <w:tcW w:w="5670" w:type="dxa"/>
          </w:tcPr>
          <w:p w14:paraId="6C7140C0" w14:textId="77777777" w:rsidR="00830204" w:rsidRPr="00830204" w:rsidRDefault="00830204" w:rsidP="002D22C1">
            <w:pPr>
              <w:pStyle w:val="ListParagraph"/>
              <w:tabs>
                <w:tab w:val="clear" w:pos="426"/>
              </w:tabs>
              <w:rPr>
                <w:rStyle w:val="ListParagraphChar"/>
              </w:rPr>
            </w:pPr>
            <w:r w:rsidRPr="00830204">
              <w:rPr>
                <w:rStyle w:val="ListParagraphChar"/>
              </w:rPr>
              <w:t>ICT Acceptable Use Policy</w:t>
            </w:r>
          </w:p>
        </w:tc>
      </w:tr>
    </w:tbl>
    <w:p w14:paraId="7F0B6B4D" w14:textId="77777777" w:rsidR="0078684E" w:rsidRDefault="0078684E" w:rsidP="00CA5357">
      <w:pPr>
        <w:pStyle w:val="Heading1"/>
        <w:spacing w:before="0"/>
      </w:pPr>
    </w:p>
    <w:p w14:paraId="74207682" w14:textId="77777777" w:rsidR="00DD068B" w:rsidRPr="00DD068B" w:rsidRDefault="002329CF" w:rsidP="00CA5357">
      <w:pPr>
        <w:pStyle w:val="Heading1"/>
        <w:spacing w:before="0"/>
      </w:pPr>
      <w:r w:rsidRPr="001356F1">
        <w:t>Financial implications</w:t>
      </w:r>
    </w:p>
    <w:p w14:paraId="1C6F5E14" w14:textId="77777777" w:rsidR="00E87F7A" w:rsidRDefault="0069476D" w:rsidP="00D6291F">
      <w:pPr>
        <w:pStyle w:val="ListParagraph"/>
        <w:numPr>
          <w:ilvl w:val="0"/>
          <w:numId w:val="34"/>
        </w:numPr>
        <w:tabs>
          <w:tab w:val="clear" w:pos="426"/>
        </w:tabs>
        <w:spacing w:after="0"/>
        <w:ind w:left="567" w:hanging="567"/>
      </w:pPr>
      <w:r>
        <w:t>There are no financial implications arising from the recommendations contained in this report.</w:t>
      </w:r>
    </w:p>
    <w:p w14:paraId="7778DAB0" w14:textId="77777777" w:rsidR="002D6F34" w:rsidRDefault="002D6F34" w:rsidP="00D6291F">
      <w:pPr>
        <w:pStyle w:val="ListParagraph"/>
        <w:spacing w:after="0"/>
        <w:ind w:left="567" w:hanging="567"/>
      </w:pPr>
    </w:p>
    <w:p w14:paraId="726A7F54" w14:textId="77777777" w:rsidR="0040736F" w:rsidRPr="00830204" w:rsidRDefault="00DA614B" w:rsidP="00830204">
      <w:pPr>
        <w:pStyle w:val="Heading1"/>
      </w:pPr>
      <w:r w:rsidRPr="00830204">
        <w:t>Legal issues</w:t>
      </w:r>
    </w:p>
    <w:p w14:paraId="7AA3C135" w14:textId="77777777" w:rsidR="00DD068B" w:rsidRDefault="00DD068B" w:rsidP="00DD068B">
      <w:pPr>
        <w:pStyle w:val="ListParagraph"/>
        <w:numPr>
          <w:ilvl w:val="0"/>
          <w:numId w:val="34"/>
        </w:numPr>
        <w:tabs>
          <w:tab w:val="clear" w:pos="426"/>
          <w:tab w:val="left" w:pos="567"/>
        </w:tabs>
        <w:spacing w:after="0"/>
        <w:ind w:left="567" w:hanging="567"/>
      </w:pPr>
      <w:r>
        <w:t xml:space="preserve">A local authority is under a duty to prepare and keep up to date its constitution </w:t>
      </w:r>
      <w:proofErr w:type="gramStart"/>
      <w:r>
        <w:t>under</w:t>
      </w:r>
      <w:proofErr w:type="gramEnd"/>
      <w:r>
        <w:t xml:space="preserve"> section 9P of the Local Government Act 2000 as amended. The Constitution must contain:</w:t>
      </w:r>
    </w:p>
    <w:p w14:paraId="77380CA8" w14:textId="77777777" w:rsidR="00C72BAD" w:rsidRDefault="00C72BAD" w:rsidP="00C72BAD">
      <w:pPr>
        <w:pStyle w:val="ListParagraph"/>
        <w:tabs>
          <w:tab w:val="clear" w:pos="426"/>
          <w:tab w:val="left" w:pos="567"/>
        </w:tabs>
        <w:spacing w:after="0"/>
        <w:ind w:left="567"/>
      </w:pPr>
    </w:p>
    <w:p w14:paraId="3C4A735B" w14:textId="77777777" w:rsidR="00DD068B" w:rsidRDefault="0034623D" w:rsidP="00DD068B">
      <w:pPr>
        <w:pStyle w:val="ListParagraph"/>
        <w:numPr>
          <w:ilvl w:val="0"/>
          <w:numId w:val="43"/>
        </w:numPr>
        <w:spacing w:after="0"/>
        <w:ind w:firstLine="633"/>
      </w:pPr>
      <w:r>
        <w:t xml:space="preserve">the Council’s </w:t>
      </w:r>
      <w:r w:rsidR="00DD068B">
        <w:t>standing orders/procedure rules;</w:t>
      </w:r>
    </w:p>
    <w:p w14:paraId="0F383A4F" w14:textId="77777777" w:rsidR="00DD068B" w:rsidRDefault="0034623D" w:rsidP="00DD068B">
      <w:pPr>
        <w:pStyle w:val="ListParagraph"/>
        <w:numPr>
          <w:ilvl w:val="0"/>
          <w:numId w:val="43"/>
        </w:numPr>
        <w:spacing w:after="0"/>
        <w:ind w:firstLine="633"/>
      </w:pPr>
      <w:r>
        <w:t xml:space="preserve">the Council’s </w:t>
      </w:r>
      <w:r w:rsidR="00DD068B">
        <w:t>members' code of conduct;</w:t>
      </w:r>
    </w:p>
    <w:p w14:paraId="7B21B0C7" w14:textId="77777777" w:rsidR="00DD068B" w:rsidRDefault="00DD068B" w:rsidP="00DD068B">
      <w:pPr>
        <w:pStyle w:val="ListParagraph"/>
        <w:numPr>
          <w:ilvl w:val="0"/>
          <w:numId w:val="43"/>
        </w:numPr>
        <w:spacing w:after="0"/>
        <w:ind w:firstLine="633"/>
      </w:pPr>
      <w:r>
        <w:t>such information as the Secretary of State may direct;</w:t>
      </w:r>
      <w:r w:rsidR="0034623D">
        <w:t xml:space="preserve"> and</w:t>
      </w:r>
    </w:p>
    <w:p w14:paraId="5687B874" w14:textId="77777777" w:rsidR="00DD068B" w:rsidRDefault="00DD068B" w:rsidP="00DD068B">
      <w:pPr>
        <w:pStyle w:val="ListParagraph"/>
        <w:numPr>
          <w:ilvl w:val="0"/>
          <w:numId w:val="43"/>
        </w:numPr>
        <w:spacing w:after="0"/>
        <w:ind w:firstLine="633"/>
      </w:pPr>
      <w:proofErr w:type="gramStart"/>
      <w:r>
        <w:lastRenderedPageBreak/>
        <w:t>such</w:t>
      </w:r>
      <w:proofErr w:type="gramEnd"/>
      <w:r>
        <w:t xml:space="preserve"> other information (if any) as the authority considers appropriate.</w:t>
      </w:r>
    </w:p>
    <w:p w14:paraId="2FBC2537" w14:textId="77777777" w:rsidR="00DD068B" w:rsidRDefault="00DD068B" w:rsidP="00DD068B">
      <w:pPr>
        <w:spacing w:after="0"/>
        <w:ind w:left="993"/>
      </w:pPr>
    </w:p>
    <w:p w14:paraId="5FEC781C" w14:textId="2BEFEA00" w:rsidR="00DD068B" w:rsidRPr="00DD068B" w:rsidRDefault="00DD068B" w:rsidP="00D6291F">
      <w:pPr>
        <w:pStyle w:val="ListParagraph"/>
        <w:numPr>
          <w:ilvl w:val="0"/>
          <w:numId w:val="34"/>
        </w:numPr>
        <w:tabs>
          <w:tab w:val="clear" w:pos="426"/>
        </w:tabs>
        <w:spacing w:after="0"/>
        <w:ind w:left="567" w:hanging="567"/>
        <w:rPr>
          <w:color w:val="auto"/>
        </w:rPr>
      </w:pPr>
      <w:r w:rsidRPr="00DD068B">
        <w:rPr>
          <w:rFonts w:cs="Arial"/>
          <w:color w:val="auto"/>
          <w:shd w:val="clear" w:color="auto" w:fill="FFFFFF"/>
        </w:rPr>
        <w:t>A Constitution Direction was issued by the Secretary of State in December 2000 that required around 80 matters to be included within constitutions, covering members' allowances schemes, details of procedures for meetings and a description of the rights of inhabitants of the area, amongst other things.</w:t>
      </w:r>
    </w:p>
    <w:p w14:paraId="0DC8AECE" w14:textId="77777777" w:rsidR="00DD068B" w:rsidRDefault="00DD068B" w:rsidP="00DD068B">
      <w:pPr>
        <w:spacing w:after="0"/>
      </w:pPr>
    </w:p>
    <w:p w14:paraId="66E6C623" w14:textId="77777777" w:rsidR="00E87F7A" w:rsidRDefault="001A5A60" w:rsidP="00D6291F">
      <w:pPr>
        <w:pStyle w:val="ListParagraph"/>
        <w:numPr>
          <w:ilvl w:val="0"/>
          <w:numId w:val="34"/>
        </w:numPr>
        <w:tabs>
          <w:tab w:val="clear" w:pos="426"/>
        </w:tabs>
        <w:spacing w:after="0"/>
        <w:ind w:left="567" w:hanging="567"/>
        <w:rPr>
          <w:rStyle w:val="ListParagraphChar"/>
        </w:rPr>
      </w:pPr>
      <w:r>
        <w:t xml:space="preserve">As set out in </w:t>
      </w:r>
      <w:r w:rsidRPr="00C73D6B">
        <w:rPr>
          <w:color w:val="auto"/>
        </w:rPr>
        <w:t xml:space="preserve">paragraph </w:t>
      </w:r>
      <w:r w:rsidR="00C73D6B" w:rsidRPr="00C73D6B">
        <w:rPr>
          <w:color w:val="auto"/>
        </w:rPr>
        <w:t>6</w:t>
      </w:r>
      <w:r w:rsidRPr="00C73D6B">
        <w:rPr>
          <w:color w:val="auto"/>
        </w:rPr>
        <w:t xml:space="preserve">, </w:t>
      </w:r>
      <w:r>
        <w:t xml:space="preserve">the Monitoring Officer has delegated authority to </w:t>
      </w:r>
      <w:r w:rsidRPr="00E715C7">
        <w:rPr>
          <w:rStyle w:val="ListParagraphChar"/>
        </w:rPr>
        <w:t>make any changes necessary to ensure the Constitution continues to reflect the law</w:t>
      </w:r>
      <w:r>
        <w:rPr>
          <w:rStyle w:val="ListParagraphChar"/>
        </w:rPr>
        <w:t xml:space="preserve">.  </w:t>
      </w:r>
    </w:p>
    <w:p w14:paraId="3E4C1A7C" w14:textId="77777777" w:rsidR="00DD068B" w:rsidRDefault="00DD068B" w:rsidP="00DD068B">
      <w:pPr>
        <w:spacing w:after="0"/>
        <w:rPr>
          <w:rStyle w:val="ListParagraphChar"/>
        </w:rPr>
      </w:pPr>
    </w:p>
    <w:p w14:paraId="08A0E4DC" w14:textId="77777777" w:rsidR="00DD068B" w:rsidRDefault="00DD068B" w:rsidP="00D6291F">
      <w:pPr>
        <w:pStyle w:val="ListParagraph"/>
        <w:numPr>
          <w:ilvl w:val="0"/>
          <w:numId w:val="34"/>
        </w:numPr>
        <w:tabs>
          <w:tab w:val="clear" w:pos="426"/>
        </w:tabs>
        <w:spacing w:after="0"/>
        <w:ind w:left="567" w:hanging="567"/>
        <w:rPr>
          <w:rStyle w:val="ListParagraphChar"/>
        </w:rPr>
      </w:pPr>
      <w:r>
        <w:rPr>
          <w:rStyle w:val="ListParagraphChar"/>
        </w:rPr>
        <w:t>There no other legal issues arising from the recommendations contained in this report.</w:t>
      </w:r>
    </w:p>
    <w:p w14:paraId="1F788F49" w14:textId="77777777" w:rsidR="009D469F" w:rsidRDefault="009D469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B53D3A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F1DA24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EE892C7" w14:textId="77777777" w:rsidR="00E87F7A" w:rsidRPr="001356F1" w:rsidRDefault="00C95E1A" w:rsidP="00A46E98">
            <w:r>
              <w:t>Emma Griffiths</w:t>
            </w:r>
          </w:p>
        </w:tc>
      </w:tr>
      <w:tr w:rsidR="00DF093E" w:rsidRPr="001356F1" w14:paraId="0E93CA3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9EB951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DC2A07D" w14:textId="77777777" w:rsidR="00E87F7A" w:rsidRPr="001356F1" w:rsidRDefault="00C95E1A" w:rsidP="00A46E98">
            <w:r>
              <w:t>Lawyer</w:t>
            </w:r>
          </w:p>
        </w:tc>
      </w:tr>
      <w:tr w:rsidR="00DF093E" w:rsidRPr="001356F1" w14:paraId="03E17EA1" w14:textId="77777777" w:rsidTr="00A46E98">
        <w:trPr>
          <w:cantSplit/>
          <w:trHeight w:val="396"/>
        </w:trPr>
        <w:tc>
          <w:tcPr>
            <w:tcW w:w="3969" w:type="dxa"/>
            <w:tcBorders>
              <w:top w:val="nil"/>
              <w:left w:val="single" w:sz="8" w:space="0" w:color="000000"/>
              <w:bottom w:val="nil"/>
              <w:right w:val="nil"/>
            </w:tcBorders>
            <w:shd w:val="clear" w:color="auto" w:fill="auto"/>
          </w:tcPr>
          <w:p w14:paraId="56C205B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C61ED82" w14:textId="77777777" w:rsidR="00E87F7A" w:rsidRPr="001356F1" w:rsidRDefault="00D3675F" w:rsidP="00A46E98">
            <w:r>
              <w:t>Law and Governance</w:t>
            </w:r>
          </w:p>
        </w:tc>
      </w:tr>
      <w:tr w:rsidR="00DF093E" w:rsidRPr="001356F1" w14:paraId="6475E6E4" w14:textId="77777777" w:rsidTr="00A46E98">
        <w:trPr>
          <w:cantSplit/>
          <w:trHeight w:val="396"/>
        </w:trPr>
        <w:tc>
          <w:tcPr>
            <w:tcW w:w="3969" w:type="dxa"/>
            <w:tcBorders>
              <w:top w:val="nil"/>
              <w:left w:val="single" w:sz="8" w:space="0" w:color="000000"/>
              <w:bottom w:val="nil"/>
              <w:right w:val="nil"/>
            </w:tcBorders>
            <w:shd w:val="clear" w:color="auto" w:fill="auto"/>
          </w:tcPr>
          <w:p w14:paraId="7CC3974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68EEF0E" w14:textId="77777777" w:rsidR="00E87F7A" w:rsidRPr="001356F1" w:rsidRDefault="00D3675F" w:rsidP="00C73D6B">
            <w:r w:rsidRPr="00C73D6B">
              <w:rPr>
                <w:color w:val="auto"/>
              </w:rPr>
              <w:t>01865 25</w:t>
            </w:r>
            <w:r w:rsidR="00C73D6B" w:rsidRPr="00C73D6B">
              <w:rPr>
                <w:color w:val="auto"/>
              </w:rPr>
              <w:t>2208</w:t>
            </w:r>
          </w:p>
        </w:tc>
      </w:tr>
      <w:tr w:rsidR="005570B5" w:rsidRPr="001356F1" w14:paraId="26E2845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A27ADF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F48CCB7" w14:textId="77777777" w:rsidR="003530FF" w:rsidRPr="001356F1" w:rsidRDefault="00830204" w:rsidP="003530FF">
            <w:pPr>
              <w:rPr>
                <w:rStyle w:val="Hyperlink"/>
                <w:color w:val="000000"/>
              </w:rPr>
            </w:pPr>
            <w:hyperlink r:id="rId8" w:history="1">
              <w:r w:rsidR="003530FF" w:rsidRPr="001C4417">
                <w:rPr>
                  <w:rStyle w:val="Hyperlink"/>
                </w:rPr>
                <w:t>egriffiths@oxford.gov.uk</w:t>
              </w:r>
            </w:hyperlink>
          </w:p>
        </w:tc>
      </w:tr>
    </w:tbl>
    <w:p w14:paraId="5AFBBAD2"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1E9BDD27"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63AF37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C7FD35E" w14:textId="77777777" w:rsidR="004456DD" w:rsidRPr="009E51FC" w:rsidRDefault="004456DD" w:rsidP="003530FF"/>
    <w:sectPr w:rsidR="004456DD" w:rsidRPr="009E51FC" w:rsidSect="00830204">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5754E" w14:textId="77777777" w:rsidR="003C5B80" w:rsidRDefault="003C5B80" w:rsidP="004A6D2F">
      <w:r>
        <w:separator/>
      </w:r>
    </w:p>
  </w:endnote>
  <w:endnote w:type="continuationSeparator" w:id="0">
    <w:p w14:paraId="2BA54039" w14:textId="77777777" w:rsidR="003C5B80" w:rsidRDefault="003C5B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F083" w14:textId="77777777" w:rsidR="00364FAD" w:rsidRDefault="00364FAD" w:rsidP="004A6D2F">
    <w:pPr>
      <w:pStyle w:val="Footer"/>
    </w:pPr>
    <w:r>
      <w:t>Do not use a footer or page numbers.</w:t>
    </w:r>
  </w:p>
  <w:p w14:paraId="097EA570" w14:textId="77777777" w:rsidR="00364FAD" w:rsidRDefault="00364FAD" w:rsidP="004A6D2F">
    <w:pPr>
      <w:pStyle w:val="Footer"/>
    </w:pPr>
  </w:p>
  <w:p w14:paraId="5A9D76FA"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8954"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0D3FA" w14:textId="77777777" w:rsidR="003C5B80" w:rsidRDefault="003C5B80" w:rsidP="004A6D2F">
      <w:r>
        <w:separator/>
      </w:r>
    </w:p>
  </w:footnote>
  <w:footnote w:type="continuationSeparator" w:id="0">
    <w:p w14:paraId="4C1D6C27" w14:textId="77777777" w:rsidR="003C5B80" w:rsidRDefault="003C5B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7486" w14:textId="77777777" w:rsidR="00D5547E" w:rsidRDefault="00B67CCB" w:rsidP="00D5547E">
    <w:pPr>
      <w:pStyle w:val="Header"/>
      <w:jc w:val="right"/>
    </w:pPr>
    <w:r>
      <w:rPr>
        <w:noProof/>
      </w:rPr>
      <w:drawing>
        <wp:inline distT="0" distB="0" distL="0" distR="0" wp14:anchorId="158FA32B" wp14:editId="42735A8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EA1C25"/>
    <w:multiLevelType w:val="hybridMultilevel"/>
    <w:tmpl w:val="FBAED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CE631F"/>
    <w:multiLevelType w:val="hybridMultilevel"/>
    <w:tmpl w:val="DF8A3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0F83F66"/>
    <w:multiLevelType w:val="hybridMultilevel"/>
    <w:tmpl w:val="96BA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A075F8"/>
    <w:multiLevelType w:val="hybridMultilevel"/>
    <w:tmpl w:val="F6D88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324C51"/>
    <w:multiLevelType w:val="hybridMultilevel"/>
    <w:tmpl w:val="024C5B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1A2020A"/>
    <w:multiLevelType w:val="hybridMultilevel"/>
    <w:tmpl w:val="AB1A8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263A6A"/>
    <w:multiLevelType w:val="multilevel"/>
    <w:tmpl w:val="43D6D2FA"/>
    <w:numStyleLink w:val="StyleBulletedSymbolsymbolLeft063cmHanging063cm"/>
  </w:abstractNum>
  <w:abstractNum w:abstractNumId="24"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127E85"/>
    <w:multiLevelType w:val="hybridMultilevel"/>
    <w:tmpl w:val="4CCEE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097197"/>
    <w:multiLevelType w:val="hybridMultilevel"/>
    <w:tmpl w:val="D32A713E"/>
    <w:lvl w:ilvl="0" w:tplc="D8B65CD0">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B843AC"/>
    <w:multiLevelType w:val="hybridMultilevel"/>
    <w:tmpl w:val="C75238B2"/>
    <w:lvl w:ilvl="0" w:tplc="153E4C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5347414"/>
    <w:multiLevelType w:val="hybridMultilevel"/>
    <w:tmpl w:val="D460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AC172C"/>
    <w:multiLevelType w:val="hybridMultilevel"/>
    <w:tmpl w:val="6E44A598"/>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A22831"/>
    <w:multiLevelType w:val="multilevel"/>
    <w:tmpl w:val="43D6D2FA"/>
    <w:numStyleLink w:val="StyleBulletedSymbolsymbolLeft063cmHanging063cm"/>
  </w:abstractNum>
  <w:abstractNum w:abstractNumId="4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AB404E"/>
    <w:multiLevelType w:val="hybridMultilevel"/>
    <w:tmpl w:val="BD5AA0A0"/>
    <w:lvl w:ilvl="0" w:tplc="08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6C496989"/>
    <w:multiLevelType w:val="singleLevel"/>
    <w:tmpl w:val="0809000F"/>
    <w:lvl w:ilvl="0">
      <w:start w:val="1"/>
      <w:numFmt w:val="decimal"/>
      <w:lvlText w:val="%1."/>
      <w:lvlJc w:val="left"/>
      <w:pPr>
        <w:ind w:left="360" w:hanging="360"/>
      </w:pPr>
      <w:rPr>
        <w:color w:val="000000"/>
        <w:sz w:val="24"/>
      </w:rPr>
    </w:lvl>
  </w:abstractNum>
  <w:abstractNum w:abstractNumId="4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931B3A"/>
    <w:multiLevelType w:val="hybridMultilevel"/>
    <w:tmpl w:val="11626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41"/>
  </w:num>
  <w:num w:numId="3">
    <w:abstractNumId w:val="30"/>
  </w:num>
  <w:num w:numId="4">
    <w:abstractNumId w:val="24"/>
  </w:num>
  <w:num w:numId="5">
    <w:abstractNumId w:val="38"/>
  </w:num>
  <w:num w:numId="6">
    <w:abstractNumId w:val="44"/>
  </w:num>
  <w:num w:numId="7">
    <w:abstractNumId w:val="29"/>
  </w:num>
  <w:num w:numId="8">
    <w:abstractNumId w:val="26"/>
  </w:num>
  <w:num w:numId="9">
    <w:abstractNumId w:val="14"/>
  </w:num>
  <w:num w:numId="10">
    <w:abstractNumId w:val="20"/>
  </w:num>
  <w:num w:numId="11">
    <w:abstractNumId w:val="32"/>
  </w:num>
  <w:num w:numId="12">
    <w:abstractNumId w:val="31"/>
  </w:num>
  <w:num w:numId="13">
    <w:abstractNumId w:val="10"/>
  </w:num>
  <w:num w:numId="14">
    <w:abstractNumId w:val="43"/>
  </w:num>
  <w:num w:numId="15">
    <w:abstractNumId w:val="21"/>
  </w:num>
  <w:num w:numId="16">
    <w:abstractNumId w:val="11"/>
  </w:num>
  <w:num w:numId="17">
    <w:abstractNumId w:val="37"/>
  </w:num>
  <w:num w:numId="18">
    <w:abstractNumId w:val="12"/>
  </w:num>
  <w:num w:numId="19">
    <w:abstractNumId w:val="39"/>
  </w:num>
  <w:num w:numId="20">
    <w:abstractNumId w:val="23"/>
  </w:num>
  <w:num w:numId="21">
    <w:abstractNumId w:val="27"/>
  </w:num>
  <w:num w:numId="22">
    <w:abstractNumId w:val="15"/>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19"/>
  </w:num>
  <w:num w:numId="36">
    <w:abstractNumId w:val="17"/>
  </w:num>
  <w:num w:numId="37">
    <w:abstractNumId w:val="28"/>
  </w:num>
  <w:num w:numId="38">
    <w:abstractNumId w:val="16"/>
  </w:num>
  <w:num w:numId="39">
    <w:abstractNumId w:val="22"/>
  </w:num>
  <w:num w:numId="40">
    <w:abstractNumId w:val="25"/>
  </w:num>
  <w:num w:numId="41">
    <w:abstractNumId w:val="45"/>
  </w:num>
  <w:num w:numId="42">
    <w:abstractNumId w:val="34"/>
  </w:num>
  <w:num w:numId="43">
    <w:abstractNumId w:val="1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2"/>
    <w:lvlOverride w:ilvl="0">
      <w:startOverride w:val="1"/>
    </w:lvlOverride>
    <w:lvlOverride w:ilvl="1"/>
    <w:lvlOverride w:ilvl="2"/>
    <w:lvlOverride w:ilvl="3"/>
    <w:lvlOverride w:ilvl="4"/>
    <w:lvlOverride w:ilvl="5"/>
    <w:lvlOverride w:ilvl="6"/>
    <w:lvlOverride w:ilvl="7"/>
    <w:lvlOverride w:ilvl="8"/>
  </w:num>
  <w:num w:numId="4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CB"/>
    <w:rsid w:val="000117D4"/>
    <w:rsid w:val="00014ABE"/>
    <w:rsid w:val="000314D7"/>
    <w:rsid w:val="00045F8B"/>
    <w:rsid w:val="00046D2B"/>
    <w:rsid w:val="000538D7"/>
    <w:rsid w:val="00056263"/>
    <w:rsid w:val="00062BB1"/>
    <w:rsid w:val="00064D8A"/>
    <w:rsid w:val="00064F82"/>
    <w:rsid w:val="00066510"/>
    <w:rsid w:val="00067D6C"/>
    <w:rsid w:val="00073534"/>
    <w:rsid w:val="0007365E"/>
    <w:rsid w:val="000756CC"/>
    <w:rsid w:val="00077523"/>
    <w:rsid w:val="000854CE"/>
    <w:rsid w:val="0009187A"/>
    <w:rsid w:val="000A6176"/>
    <w:rsid w:val="000C089F"/>
    <w:rsid w:val="000C3928"/>
    <w:rsid w:val="000C5E8E"/>
    <w:rsid w:val="000E2EB7"/>
    <w:rsid w:val="000F4751"/>
    <w:rsid w:val="0010524C"/>
    <w:rsid w:val="00111FB1"/>
    <w:rsid w:val="00113418"/>
    <w:rsid w:val="001356F1"/>
    <w:rsid w:val="00136994"/>
    <w:rsid w:val="0014128E"/>
    <w:rsid w:val="00151169"/>
    <w:rsid w:val="00151888"/>
    <w:rsid w:val="00170A2D"/>
    <w:rsid w:val="001808BC"/>
    <w:rsid w:val="00182B81"/>
    <w:rsid w:val="0018619D"/>
    <w:rsid w:val="001A011E"/>
    <w:rsid w:val="001A066A"/>
    <w:rsid w:val="001A13E6"/>
    <w:rsid w:val="001A29ED"/>
    <w:rsid w:val="001A5731"/>
    <w:rsid w:val="001A5A60"/>
    <w:rsid w:val="001B42C3"/>
    <w:rsid w:val="001C5D5E"/>
    <w:rsid w:val="001D1761"/>
    <w:rsid w:val="001D552E"/>
    <w:rsid w:val="001D678D"/>
    <w:rsid w:val="001D7A61"/>
    <w:rsid w:val="001E03F8"/>
    <w:rsid w:val="001E1678"/>
    <w:rsid w:val="001E3376"/>
    <w:rsid w:val="001F5EC7"/>
    <w:rsid w:val="002029D6"/>
    <w:rsid w:val="002069B3"/>
    <w:rsid w:val="00220DB9"/>
    <w:rsid w:val="002329CF"/>
    <w:rsid w:val="00232F5B"/>
    <w:rsid w:val="002378AB"/>
    <w:rsid w:val="00247C29"/>
    <w:rsid w:val="00260467"/>
    <w:rsid w:val="00263EA3"/>
    <w:rsid w:val="002807EC"/>
    <w:rsid w:val="00284F85"/>
    <w:rsid w:val="00290915"/>
    <w:rsid w:val="00290FF8"/>
    <w:rsid w:val="00293B07"/>
    <w:rsid w:val="00295311"/>
    <w:rsid w:val="002A22E2"/>
    <w:rsid w:val="002C12DD"/>
    <w:rsid w:val="002C39AC"/>
    <w:rsid w:val="002C64F7"/>
    <w:rsid w:val="002D6F34"/>
    <w:rsid w:val="002F41F2"/>
    <w:rsid w:val="00301BF3"/>
    <w:rsid w:val="0030208D"/>
    <w:rsid w:val="00323418"/>
    <w:rsid w:val="003357BF"/>
    <w:rsid w:val="00342E15"/>
    <w:rsid w:val="0034623D"/>
    <w:rsid w:val="003530FF"/>
    <w:rsid w:val="0035525B"/>
    <w:rsid w:val="00364FAD"/>
    <w:rsid w:val="0036738F"/>
    <w:rsid w:val="0036759C"/>
    <w:rsid w:val="00367AE5"/>
    <w:rsid w:val="00367D71"/>
    <w:rsid w:val="0038150A"/>
    <w:rsid w:val="00394BF5"/>
    <w:rsid w:val="003A05CF"/>
    <w:rsid w:val="003A6895"/>
    <w:rsid w:val="003B6E75"/>
    <w:rsid w:val="003B7DA1"/>
    <w:rsid w:val="003C3C1C"/>
    <w:rsid w:val="003C5B80"/>
    <w:rsid w:val="003D0379"/>
    <w:rsid w:val="003D2574"/>
    <w:rsid w:val="003D4C59"/>
    <w:rsid w:val="003F0CC9"/>
    <w:rsid w:val="003F158B"/>
    <w:rsid w:val="003F251A"/>
    <w:rsid w:val="003F4267"/>
    <w:rsid w:val="00404032"/>
    <w:rsid w:val="0040736F"/>
    <w:rsid w:val="004105FA"/>
    <w:rsid w:val="00412C1F"/>
    <w:rsid w:val="00421CB2"/>
    <w:rsid w:val="004268B9"/>
    <w:rsid w:val="00431541"/>
    <w:rsid w:val="00431DD5"/>
    <w:rsid w:val="00433B96"/>
    <w:rsid w:val="004440F1"/>
    <w:rsid w:val="004456DD"/>
    <w:rsid w:val="00446CDF"/>
    <w:rsid w:val="004521B7"/>
    <w:rsid w:val="00462AB5"/>
    <w:rsid w:val="00465EAF"/>
    <w:rsid w:val="004738C5"/>
    <w:rsid w:val="0047787E"/>
    <w:rsid w:val="00491046"/>
    <w:rsid w:val="004A2AC7"/>
    <w:rsid w:val="004A6D2F"/>
    <w:rsid w:val="004B0A59"/>
    <w:rsid w:val="004C2887"/>
    <w:rsid w:val="004D2626"/>
    <w:rsid w:val="004D6E26"/>
    <w:rsid w:val="004D77D3"/>
    <w:rsid w:val="004E2959"/>
    <w:rsid w:val="004E5C34"/>
    <w:rsid w:val="004F20EF"/>
    <w:rsid w:val="0050321C"/>
    <w:rsid w:val="00513B54"/>
    <w:rsid w:val="00527ABF"/>
    <w:rsid w:val="0054712D"/>
    <w:rsid w:val="00547EF6"/>
    <w:rsid w:val="005515C9"/>
    <w:rsid w:val="00555AFA"/>
    <w:rsid w:val="00555D1C"/>
    <w:rsid w:val="005570B5"/>
    <w:rsid w:val="005620B4"/>
    <w:rsid w:val="00567E18"/>
    <w:rsid w:val="005756B9"/>
    <w:rsid w:val="00575F5F"/>
    <w:rsid w:val="00581805"/>
    <w:rsid w:val="00585F76"/>
    <w:rsid w:val="005A34E4"/>
    <w:rsid w:val="005A4D55"/>
    <w:rsid w:val="005B17F2"/>
    <w:rsid w:val="005B7FB0"/>
    <w:rsid w:val="005C35A5"/>
    <w:rsid w:val="005C577C"/>
    <w:rsid w:val="005D0621"/>
    <w:rsid w:val="005D1E27"/>
    <w:rsid w:val="005D2A3E"/>
    <w:rsid w:val="005E0082"/>
    <w:rsid w:val="005E022E"/>
    <w:rsid w:val="005E5215"/>
    <w:rsid w:val="005E5D3A"/>
    <w:rsid w:val="005F61A7"/>
    <w:rsid w:val="005F7F7E"/>
    <w:rsid w:val="00614018"/>
    <w:rsid w:val="00614693"/>
    <w:rsid w:val="00623C2F"/>
    <w:rsid w:val="00625BFC"/>
    <w:rsid w:val="00633578"/>
    <w:rsid w:val="00637068"/>
    <w:rsid w:val="00645BB8"/>
    <w:rsid w:val="00650811"/>
    <w:rsid w:val="00656186"/>
    <w:rsid w:val="00661D3E"/>
    <w:rsid w:val="00682D8C"/>
    <w:rsid w:val="006904A6"/>
    <w:rsid w:val="00692627"/>
    <w:rsid w:val="0069476D"/>
    <w:rsid w:val="006969E7"/>
    <w:rsid w:val="006A3643"/>
    <w:rsid w:val="006A5CCC"/>
    <w:rsid w:val="006A6DDE"/>
    <w:rsid w:val="006B2AD0"/>
    <w:rsid w:val="006C2A29"/>
    <w:rsid w:val="006C64CF"/>
    <w:rsid w:val="006D17B1"/>
    <w:rsid w:val="006D4752"/>
    <w:rsid w:val="006D708A"/>
    <w:rsid w:val="006D7803"/>
    <w:rsid w:val="006E14C1"/>
    <w:rsid w:val="006F0292"/>
    <w:rsid w:val="006F27FA"/>
    <w:rsid w:val="006F416B"/>
    <w:rsid w:val="006F519B"/>
    <w:rsid w:val="00701BCE"/>
    <w:rsid w:val="00703136"/>
    <w:rsid w:val="00713675"/>
    <w:rsid w:val="007151B0"/>
    <w:rsid w:val="00715823"/>
    <w:rsid w:val="0072330C"/>
    <w:rsid w:val="007322EC"/>
    <w:rsid w:val="00733CB3"/>
    <w:rsid w:val="00737B93"/>
    <w:rsid w:val="00745BF0"/>
    <w:rsid w:val="007615FE"/>
    <w:rsid w:val="007637BE"/>
    <w:rsid w:val="00764DDD"/>
    <w:rsid w:val="0076655C"/>
    <w:rsid w:val="007742DC"/>
    <w:rsid w:val="0078684E"/>
    <w:rsid w:val="00790301"/>
    <w:rsid w:val="00791437"/>
    <w:rsid w:val="00793E1B"/>
    <w:rsid w:val="007964BC"/>
    <w:rsid w:val="007A2E34"/>
    <w:rsid w:val="007B0C2C"/>
    <w:rsid w:val="007B278E"/>
    <w:rsid w:val="007B47A7"/>
    <w:rsid w:val="007C38BE"/>
    <w:rsid w:val="007C5C23"/>
    <w:rsid w:val="007D34EC"/>
    <w:rsid w:val="007E2A26"/>
    <w:rsid w:val="007F2348"/>
    <w:rsid w:val="0080150C"/>
    <w:rsid w:val="00803F07"/>
    <w:rsid w:val="00805E26"/>
    <w:rsid w:val="0080749A"/>
    <w:rsid w:val="0080783C"/>
    <w:rsid w:val="00811B14"/>
    <w:rsid w:val="00821FB8"/>
    <w:rsid w:val="00822ACD"/>
    <w:rsid w:val="00830204"/>
    <w:rsid w:val="00835BF4"/>
    <w:rsid w:val="008411D8"/>
    <w:rsid w:val="00843555"/>
    <w:rsid w:val="00855C66"/>
    <w:rsid w:val="00871EE4"/>
    <w:rsid w:val="00881D31"/>
    <w:rsid w:val="00892591"/>
    <w:rsid w:val="008A5141"/>
    <w:rsid w:val="008A528A"/>
    <w:rsid w:val="008A5929"/>
    <w:rsid w:val="008B293F"/>
    <w:rsid w:val="008B7371"/>
    <w:rsid w:val="008D3DDB"/>
    <w:rsid w:val="008D3F98"/>
    <w:rsid w:val="008F573F"/>
    <w:rsid w:val="009034EC"/>
    <w:rsid w:val="00916D33"/>
    <w:rsid w:val="00923140"/>
    <w:rsid w:val="0093067A"/>
    <w:rsid w:val="009406A0"/>
    <w:rsid w:val="00941C60"/>
    <w:rsid w:val="00962613"/>
    <w:rsid w:val="00966D42"/>
    <w:rsid w:val="00971689"/>
    <w:rsid w:val="00973E90"/>
    <w:rsid w:val="00975B07"/>
    <w:rsid w:val="00980B4A"/>
    <w:rsid w:val="00997B37"/>
    <w:rsid w:val="009A22F8"/>
    <w:rsid w:val="009B3081"/>
    <w:rsid w:val="009D469F"/>
    <w:rsid w:val="009D73CB"/>
    <w:rsid w:val="009E3D0A"/>
    <w:rsid w:val="009E51FC"/>
    <w:rsid w:val="009E5620"/>
    <w:rsid w:val="009F1D28"/>
    <w:rsid w:val="009F7618"/>
    <w:rsid w:val="00A04D23"/>
    <w:rsid w:val="00A06766"/>
    <w:rsid w:val="00A13765"/>
    <w:rsid w:val="00A14786"/>
    <w:rsid w:val="00A21B12"/>
    <w:rsid w:val="00A23F80"/>
    <w:rsid w:val="00A32882"/>
    <w:rsid w:val="00A46E98"/>
    <w:rsid w:val="00A4763B"/>
    <w:rsid w:val="00A575B1"/>
    <w:rsid w:val="00A6352B"/>
    <w:rsid w:val="00A701B5"/>
    <w:rsid w:val="00A714BB"/>
    <w:rsid w:val="00A834EE"/>
    <w:rsid w:val="00A92D8F"/>
    <w:rsid w:val="00AB1FBE"/>
    <w:rsid w:val="00AB20E8"/>
    <w:rsid w:val="00AB22F6"/>
    <w:rsid w:val="00AB2988"/>
    <w:rsid w:val="00AB7999"/>
    <w:rsid w:val="00AD3292"/>
    <w:rsid w:val="00AE7AF0"/>
    <w:rsid w:val="00B35D61"/>
    <w:rsid w:val="00B44489"/>
    <w:rsid w:val="00B47040"/>
    <w:rsid w:val="00B500CA"/>
    <w:rsid w:val="00B55E94"/>
    <w:rsid w:val="00B62505"/>
    <w:rsid w:val="00B67CCB"/>
    <w:rsid w:val="00B86314"/>
    <w:rsid w:val="00B918CC"/>
    <w:rsid w:val="00B936A5"/>
    <w:rsid w:val="00B95C3B"/>
    <w:rsid w:val="00BA115B"/>
    <w:rsid w:val="00BA1C2E"/>
    <w:rsid w:val="00BA69C8"/>
    <w:rsid w:val="00BC200B"/>
    <w:rsid w:val="00BC4756"/>
    <w:rsid w:val="00BC671D"/>
    <w:rsid w:val="00BC69A4"/>
    <w:rsid w:val="00BE0680"/>
    <w:rsid w:val="00BE305F"/>
    <w:rsid w:val="00BE7BA3"/>
    <w:rsid w:val="00BF4DE5"/>
    <w:rsid w:val="00BF5682"/>
    <w:rsid w:val="00BF7B09"/>
    <w:rsid w:val="00C02C19"/>
    <w:rsid w:val="00C042FA"/>
    <w:rsid w:val="00C12E98"/>
    <w:rsid w:val="00C20A95"/>
    <w:rsid w:val="00C2692F"/>
    <w:rsid w:val="00C3207C"/>
    <w:rsid w:val="00C400E1"/>
    <w:rsid w:val="00C41187"/>
    <w:rsid w:val="00C42752"/>
    <w:rsid w:val="00C51932"/>
    <w:rsid w:val="00C5446B"/>
    <w:rsid w:val="00C550C7"/>
    <w:rsid w:val="00C63C31"/>
    <w:rsid w:val="00C63C3B"/>
    <w:rsid w:val="00C72BAD"/>
    <w:rsid w:val="00C73D6B"/>
    <w:rsid w:val="00C757A0"/>
    <w:rsid w:val="00C760DE"/>
    <w:rsid w:val="00C82630"/>
    <w:rsid w:val="00C85B4E"/>
    <w:rsid w:val="00C907F7"/>
    <w:rsid w:val="00C95E1A"/>
    <w:rsid w:val="00CA2103"/>
    <w:rsid w:val="00CA484E"/>
    <w:rsid w:val="00CA5357"/>
    <w:rsid w:val="00CB6B99"/>
    <w:rsid w:val="00CC5D9E"/>
    <w:rsid w:val="00CE4C87"/>
    <w:rsid w:val="00CE544A"/>
    <w:rsid w:val="00D078A9"/>
    <w:rsid w:val="00D11E1C"/>
    <w:rsid w:val="00D160B0"/>
    <w:rsid w:val="00D17F94"/>
    <w:rsid w:val="00D21514"/>
    <w:rsid w:val="00D223FC"/>
    <w:rsid w:val="00D23EA2"/>
    <w:rsid w:val="00D23FCA"/>
    <w:rsid w:val="00D25AD1"/>
    <w:rsid w:val="00D26D1E"/>
    <w:rsid w:val="00D3675F"/>
    <w:rsid w:val="00D44F17"/>
    <w:rsid w:val="00D47242"/>
    <w:rsid w:val="00D474CF"/>
    <w:rsid w:val="00D514E7"/>
    <w:rsid w:val="00D5547E"/>
    <w:rsid w:val="00D6291F"/>
    <w:rsid w:val="00D84C7A"/>
    <w:rsid w:val="00D85237"/>
    <w:rsid w:val="00D869A1"/>
    <w:rsid w:val="00DA40E3"/>
    <w:rsid w:val="00DA413F"/>
    <w:rsid w:val="00DA4584"/>
    <w:rsid w:val="00DA614B"/>
    <w:rsid w:val="00DA68A1"/>
    <w:rsid w:val="00DC3060"/>
    <w:rsid w:val="00DC51F0"/>
    <w:rsid w:val="00DC7F59"/>
    <w:rsid w:val="00DD068B"/>
    <w:rsid w:val="00DE0FB2"/>
    <w:rsid w:val="00DF093E"/>
    <w:rsid w:val="00E01F42"/>
    <w:rsid w:val="00E206D6"/>
    <w:rsid w:val="00E20FA7"/>
    <w:rsid w:val="00E258F2"/>
    <w:rsid w:val="00E3366E"/>
    <w:rsid w:val="00E43467"/>
    <w:rsid w:val="00E52086"/>
    <w:rsid w:val="00E543A6"/>
    <w:rsid w:val="00E54F88"/>
    <w:rsid w:val="00E60479"/>
    <w:rsid w:val="00E61D73"/>
    <w:rsid w:val="00E715C7"/>
    <w:rsid w:val="00E71C61"/>
    <w:rsid w:val="00E73684"/>
    <w:rsid w:val="00E818D6"/>
    <w:rsid w:val="00E87941"/>
    <w:rsid w:val="00E87A20"/>
    <w:rsid w:val="00E87F7A"/>
    <w:rsid w:val="00E96BD7"/>
    <w:rsid w:val="00EA0DB1"/>
    <w:rsid w:val="00EA0EE9"/>
    <w:rsid w:val="00EA57F3"/>
    <w:rsid w:val="00EC79C1"/>
    <w:rsid w:val="00ED52CA"/>
    <w:rsid w:val="00ED5860"/>
    <w:rsid w:val="00EE35C9"/>
    <w:rsid w:val="00EF7492"/>
    <w:rsid w:val="00F05ECA"/>
    <w:rsid w:val="00F23154"/>
    <w:rsid w:val="00F3566E"/>
    <w:rsid w:val="00F375FB"/>
    <w:rsid w:val="00F41AC1"/>
    <w:rsid w:val="00F4367A"/>
    <w:rsid w:val="00F440BF"/>
    <w:rsid w:val="00F445B1"/>
    <w:rsid w:val="00F45CD4"/>
    <w:rsid w:val="00F6310A"/>
    <w:rsid w:val="00F656C9"/>
    <w:rsid w:val="00F66DCA"/>
    <w:rsid w:val="00F74F53"/>
    <w:rsid w:val="00F750AD"/>
    <w:rsid w:val="00F7606D"/>
    <w:rsid w:val="00F81670"/>
    <w:rsid w:val="00F82024"/>
    <w:rsid w:val="00F95BC9"/>
    <w:rsid w:val="00F96D9E"/>
    <w:rsid w:val="00FA624C"/>
    <w:rsid w:val="00FA6720"/>
    <w:rsid w:val="00FB0487"/>
    <w:rsid w:val="00FB57B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B9FBD5"/>
  <w15:docId w15:val="{E6420163-55CE-445A-BCFD-26F20A1C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39871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0002559">
      <w:bodyDiv w:val="1"/>
      <w:marLeft w:val="0"/>
      <w:marRight w:val="0"/>
      <w:marTop w:val="0"/>
      <w:marBottom w:val="0"/>
      <w:divBdr>
        <w:top w:val="none" w:sz="0" w:space="0" w:color="auto"/>
        <w:left w:val="none" w:sz="0" w:space="0" w:color="auto"/>
        <w:bottom w:val="none" w:sz="0" w:space="0" w:color="auto"/>
        <w:right w:val="none" w:sz="0" w:space="0" w:color="auto"/>
      </w:divBdr>
    </w:div>
    <w:div w:id="1839081207">
      <w:bodyDiv w:val="1"/>
      <w:marLeft w:val="0"/>
      <w:marRight w:val="0"/>
      <w:marTop w:val="0"/>
      <w:marBottom w:val="0"/>
      <w:divBdr>
        <w:top w:val="none" w:sz="0" w:space="0" w:color="auto"/>
        <w:left w:val="none" w:sz="0" w:space="0" w:color="auto"/>
        <w:bottom w:val="none" w:sz="0" w:space="0" w:color="auto"/>
        <w:right w:val="none" w:sz="0" w:space="0" w:color="auto"/>
      </w:divBdr>
    </w:div>
    <w:div w:id="21081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riffiths@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2\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EFBF-FE80-4F38-AEF7-46FA3943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2016.dot</Template>
  <TotalTime>0</TotalTime>
  <Pages>8</Pages>
  <Words>2327</Words>
  <Characters>12648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THOMPSON Jennifer</cp:lastModifiedBy>
  <cp:revision>2</cp:revision>
  <cp:lastPrinted>2020-01-13T12:08:00Z</cp:lastPrinted>
  <dcterms:created xsi:type="dcterms:W3CDTF">2021-02-08T15:58:00Z</dcterms:created>
  <dcterms:modified xsi:type="dcterms:W3CDTF">2021-02-08T15:58:00Z</dcterms:modified>
</cp:coreProperties>
</file>